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FB6FDD" w14:textId="77777777" w:rsidR="00F534E8" w:rsidRPr="00AF2F34" w:rsidRDefault="00F534E8" w:rsidP="00F534E8">
      <w:pPr>
        <w:spacing w:line="276" w:lineRule="auto"/>
        <w:jc w:val="center"/>
        <w:rPr>
          <w:rFonts w:asciiTheme="majorHAnsi" w:eastAsia="Arial" w:hAnsiTheme="majorHAnsi" w:cstheme="majorHAnsi"/>
          <w:b/>
          <w:bCs/>
          <w:color w:val="32A041"/>
        </w:rPr>
      </w:pPr>
      <w:r w:rsidRPr="00AF2F34">
        <w:rPr>
          <w:rFonts w:asciiTheme="majorHAnsi" w:eastAsia="Arial" w:hAnsiTheme="majorHAnsi" w:cstheme="majorHAnsi"/>
          <w:b/>
          <w:bCs/>
          <w:color w:val="32A041"/>
        </w:rPr>
        <w:t>ANÁLISE PRELIMINAR DO OBJETO DE AUDITORIA</w:t>
      </w:r>
    </w:p>
    <w:p w14:paraId="2EFF35B2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</w:p>
    <w:p w14:paraId="0FBBC14A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  <w:r w:rsidRPr="00AF2F34">
        <w:rPr>
          <w:rFonts w:asciiTheme="majorHAnsi" w:eastAsia="Arial" w:hAnsiTheme="majorHAnsi" w:cstheme="majorHAnsi"/>
          <w:b/>
          <w:bCs/>
        </w:rPr>
        <w:t>1. Identificação do Trabalho de Auditoria</w:t>
      </w:r>
    </w:p>
    <w:p w14:paraId="3FE4B841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</w:p>
    <w:p w14:paraId="30F2DC45" w14:textId="79A812C3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  <w:r w:rsidRPr="00AF2F34">
        <w:rPr>
          <w:rFonts w:asciiTheme="majorHAnsi" w:eastAsia="Arial" w:hAnsiTheme="majorHAnsi" w:cstheme="majorHAnsi"/>
          <w:b/>
          <w:bCs/>
        </w:rPr>
        <w:t>Título do trabalho de auditoria:</w:t>
      </w:r>
    </w:p>
    <w:p w14:paraId="1B432325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</w:p>
    <w:p w14:paraId="1D621C05" w14:textId="4FD78CD8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  <w:r w:rsidRPr="00AF2F34">
        <w:rPr>
          <w:rFonts w:asciiTheme="majorHAnsi" w:eastAsia="Arial" w:hAnsiTheme="majorHAnsi" w:cstheme="majorHAnsi"/>
          <w:b/>
          <w:bCs/>
        </w:rPr>
        <w:t xml:space="preserve">Tipo de serviço: </w:t>
      </w:r>
    </w:p>
    <w:p w14:paraId="54B21B8B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</w:rPr>
      </w:pPr>
      <w:proofErr w:type="gramStart"/>
      <w:r w:rsidRPr="00AF2F34">
        <w:rPr>
          <w:rFonts w:asciiTheme="majorHAnsi" w:eastAsia="Arial" w:hAnsiTheme="majorHAnsi" w:cstheme="majorHAnsi"/>
        </w:rPr>
        <w:t>( )</w:t>
      </w:r>
      <w:proofErr w:type="gramEnd"/>
      <w:r w:rsidRPr="00AF2F34">
        <w:rPr>
          <w:rFonts w:asciiTheme="majorHAnsi" w:eastAsia="Arial" w:hAnsiTheme="majorHAnsi" w:cstheme="majorHAnsi"/>
        </w:rPr>
        <w:t xml:space="preserve"> Avaliação </w:t>
      </w:r>
    </w:p>
    <w:p w14:paraId="6FF9193B" w14:textId="57D9AC41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</w:rPr>
      </w:pPr>
      <w:proofErr w:type="gramStart"/>
      <w:r w:rsidRPr="00AF2F34">
        <w:rPr>
          <w:rFonts w:asciiTheme="majorHAnsi" w:eastAsia="Arial" w:hAnsiTheme="majorHAnsi" w:cstheme="majorHAnsi"/>
        </w:rPr>
        <w:t>( )</w:t>
      </w:r>
      <w:proofErr w:type="gramEnd"/>
      <w:r w:rsidRPr="00AF2F34">
        <w:rPr>
          <w:rFonts w:asciiTheme="majorHAnsi" w:eastAsia="Arial" w:hAnsiTheme="majorHAnsi" w:cstheme="majorHAnsi"/>
        </w:rPr>
        <w:t xml:space="preserve"> Consultoria</w:t>
      </w:r>
    </w:p>
    <w:p w14:paraId="17131782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</w:p>
    <w:p w14:paraId="4249E84A" w14:textId="4A9E4FF0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  <w:r w:rsidRPr="00AF2F34">
        <w:rPr>
          <w:rFonts w:asciiTheme="majorHAnsi" w:eastAsia="Arial" w:hAnsiTheme="majorHAnsi" w:cstheme="majorHAnsi"/>
          <w:b/>
          <w:bCs/>
        </w:rPr>
        <w:t>Unidade</w:t>
      </w:r>
      <w:r w:rsidR="00541BC1" w:rsidRPr="00AF2F34">
        <w:rPr>
          <w:rFonts w:asciiTheme="majorHAnsi" w:eastAsia="Arial" w:hAnsiTheme="majorHAnsi" w:cstheme="majorHAnsi"/>
          <w:b/>
          <w:bCs/>
        </w:rPr>
        <w:t>(s)</w:t>
      </w:r>
      <w:r w:rsidRPr="00AF2F34">
        <w:rPr>
          <w:rFonts w:asciiTheme="majorHAnsi" w:eastAsia="Arial" w:hAnsiTheme="majorHAnsi" w:cstheme="majorHAnsi"/>
          <w:b/>
          <w:bCs/>
        </w:rPr>
        <w:t xml:space="preserve"> auditada</w:t>
      </w:r>
      <w:r w:rsidR="00541BC1" w:rsidRPr="00AF2F34">
        <w:rPr>
          <w:rFonts w:asciiTheme="majorHAnsi" w:eastAsia="Arial" w:hAnsiTheme="majorHAnsi" w:cstheme="majorHAnsi"/>
          <w:b/>
          <w:bCs/>
        </w:rPr>
        <w:t>(s)</w:t>
      </w:r>
      <w:r w:rsidRPr="00AF2F34">
        <w:rPr>
          <w:rFonts w:asciiTheme="majorHAnsi" w:eastAsia="Arial" w:hAnsiTheme="majorHAnsi" w:cstheme="majorHAnsi"/>
          <w:b/>
          <w:bCs/>
        </w:rPr>
        <w:t xml:space="preserve"> (Campus/Unidade Administrativa):</w:t>
      </w:r>
    </w:p>
    <w:p w14:paraId="7BEF5D67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</w:p>
    <w:p w14:paraId="28614277" w14:textId="575BE865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  <w:r w:rsidRPr="00AF2F34">
        <w:rPr>
          <w:rFonts w:asciiTheme="majorHAnsi" w:eastAsia="Arial" w:hAnsiTheme="majorHAnsi" w:cstheme="majorHAnsi"/>
          <w:b/>
          <w:bCs/>
        </w:rPr>
        <w:t>Município(s) abrangido(s):</w:t>
      </w:r>
    </w:p>
    <w:p w14:paraId="5F478F93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</w:p>
    <w:p w14:paraId="363F9211" w14:textId="153CF9CB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  <w:r w:rsidRPr="00AF2F34">
        <w:rPr>
          <w:rFonts w:asciiTheme="majorHAnsi" w:eastAsia="Arial" w:hAnsiTheme="majorHAnsi" w:cstheme="majorHAnsi"/>
          <w:b/>
          <w:bCs/>
        </w:rPr>
        <w:t>Período de abrangência previsto:</w:t>
      </w:r>
    </w:p>
    <w:p w14:paraId="4DE9966F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</w:p>
    <w:p w14:paraId="3FD370EA" w14:textId="0EB1968F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  <w:r w:rsidRPr="00AF2F34">
        <w:rPr>
          <w:rFonts w:asciiTheme="majorHAnsi" w:eastAsia="Arial" w:hAnsiTheme="majorHAnsi" w:cstheme="majorHAnsi"/>
          <w:b/>
          <w:bCs/>
        </w:rPr>
        <w:t>Previsão no PAINT:</w:t>
      </w:r>
      <w:r w:rsidRPr="00AF2F34">
        <w:rPr>
          <w:rFonts w:asciiTheme="majorHAnsi" w:eastAsia="Arial" w:hAnsiTheme="majorHAnsi" w:cstheme="majorHAnsi"/>
        </w:rPr>
        <w:t xml:space="preserve"> </w:t>
      </w:r>
      <w:proofErr w:type="gramStart"/>
      <w:r w:rsidRPr="00AF2F34">
        <w:rPr>
          <w:rFonts w:asciiTheme="majorHAnsi" w:eastAsia="Arial" w:hAnsiTheme="majorHAnsi" w:cstheme="majorHAnsi"/>
        </w:rPr>
        <w:t>( )</w:t>
      </w:r>
      <w:proofErr w:type="gramEnd"/>
      <w:r w:rsidRPr="00AF2F34">
        <w:rPr>
          <w:rFonts w:asciiTheme="majorHAnsi" w:eastAsia="Arial" w:hAnsiTheme="majorHAnsi" w:cstheme="majorHAnsi"/>
        </w:rPr>
        <w:t xml:space="preserve"> Sim </w:t>
      </w:r>
      <w:proofErr w:type="gramStart"/>
      <w:r w:rsidRPr="00AF2F34">
        <w:rPr>
          <w:rFonts w:asciiTheme="majorHAnsi" w:eastAsia="Arial" w:hAnsiTheme="majorHAnsi" w:cstheme="majorHAnsi"/>
        </w:rPr>
        <w:t>( )</w:t>
      </w:r>
      <w:proofErr w:type="gramEnd"/>
      <w:r w:rsidRPr="00AF2F34">
        <w:rPr>
          <w:rFonts w:asciiTheme="majorHAnsi" w:eastAsia="Arial" w:hAnsiTheme="majorHAnsi" w:cstheme="majorHAnsi"/>
        </w:rPr>
        <w:t xml:space="preserve"> Não</w:t>
      </w:r>
    </w:p>
    <w:p w14:paraId="129C3BDF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</w:p>
    <w:p w14:paraId="5C3087FE" w14:textId="38AE5268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  <w:r w:rsidRPr="00AF2F34">
        <w:rPr>
          <w:rFonts w:asciiTheme="majorHAnsi" w:eastAsia="Arial" w:hAnsiTheme="majorHAnsi" w:cstheme="majorHAnsi"/>
          <w:b/>
          <w:bCs/>
        </w:rPr>
        <w:t xml:space="preserve">Origem da demanda: </w:t>
      </w:r>
    </w:p>
    <w:p w14:paraId="7E4FBA51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</w:rPr>
      </w:pPr>
      <w:proofErr w:type="gramStart"/>
      <w:r w:rsidRPr="00AF2F34">
        <w:rPr>
          <w:rFonts w:asciiTheme="majorHAnsi" w:eastAsia="Arial" w:hAnsiTheme="majorHAnsi" w:cstheme="majorHAnsi"/>
        </w:rPr>
        <w:t>( )</w:t>
      </w:r>
      <w:proofErr w:type="gramEnd"/>
      <w:r w:rsidRPr="00AF2F34">
        <w:rPr>
          <w:rFonts w:asciiTheme="majorHAnsi" w:eastAsia="Arial" w:hAnsiTheme="majorHAnsi" w:cstheme="majorHAnsi"/>
        </w:rPr>
        <w:t xml:space="preserve"> Planejamento baseado em riscos </w:t>
      </w:r>
    </w:p>
    <w:p w14:paraId="7F9719E2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</w:rPr>
      </w:pPr>
      <w:proofErr w:type="gramStart"/>
      <w:r w:rsidRPr="00AF2F34">
        <w:rPr>
          <w:rFonts w:asciiTheme="majorHAnsi" w:eastAsia="Arial" w:hAnsiTheme="majorHAnsi" w:cstheme="majorHAnsi"/>
        </w:rPr>
        <w:t>( )</w:t>
      </w:r>
      <w:proofErr w:type="gramEnd"/>
      <w:r w:rsidRPr="00AF2F34">
        <w:rPr>
          <w:rFonts w:asciiTheme="majorHAnsi" w:eastAsia="Arial" w:hAnsiTheme="majorHAnsi" w:cstheme="majorHAnsi"/>
        </w:rPr>
        <w:t xml:space="preserve"> Determinação legal/TCU/CGU </w:t>
      </w:r>
    </w:p>
    <w:p w14:paraId="52D46187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</w:rPr>
      </w:pPr>
      <w:proofErr w:type="gramStart"/>
      <w:r w:rsidRPr="00AF2F34">
        <w:rPr>
          <w:rFonts w:asciiTheme="majorHAnsi" w:eastAsia="Arial" w:hAnsiTheme="majorHAnsi" w:cstheme="majorHAnsi"/>
        </w:rPr>
        <w:t>( )</w:t>
      </w:r>
      <w:proofErr w:type="gramEnd"/>
      <w:r w:rsidRPr="00AF2F34">
        <w:rPr>
          <w:rFonts w:asciiTheme="majorHAnsi" w:eastAsia="Arial" w:hAnsiTheme="majorHAnsi" w:cstheme="majorHAnsi"/>
        </w:rPr>
        <w:t xml:space="preserve"> Solicitação da Alta Administração </w:t>
      </w:r>
    </w:p>
    <w:p w14:paraId="2D9F9993" w14:textId="62C8F7B9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</w:rPr>
      </w:pPr>
      <w:proofErr w:type="gramStart"/>
      <w:r w:rsidRPr="00AF2F34">
        <w:rPr>
          <w:rFonts w:asciiTheme="majorHAnsi" w:eastAsia="Arial" w:hAnsiTheme="majorHAnsi" w:cstheme="majorHAnsi"/>
        </w:rPr>
        <w:t>( )</w:t>
      </w:r>
      <w:proofErr w:type="gramEnd"/>
      <w:r w:rsidRPr="00AF2F34">
        <w:rPr>
          <w:rFonts w:asciiTheme="majorHAnsi" w:eastAsia="Arial" w:hAnsiTheme="majorHAnsi" w:cstheme="majorHAnsi"/>
        </w:rPr>
        <w:t xml:space="preserve"> Outro</w:t>
      </w:r>
    </w:p>
    <w:p w14:paraId="5ED36AB3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  <w:r w:rsidRPr="00AF2F34">
        <w:rPr>
          <w:rFonts w:asciiTheme="majorHAnsi" w:eastAsia="Arial" w:hAnsiTheme="majorHAnsi" w:cstheme="majorHAnsi"/>
          <w:b/>
          <w:bCs/>
        </w:rPr>
        <w:t xml:space="preserve"> </w:t>
      </w:r>
    </w:p>
    <w:p w14:paraId="6FB14E1C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  <w:r w:rsidRPr="00AF2F34">
        <w:rPr>
          <w:rFonts w:asciiTheme="majorHAnsi" w:eastAsia="Arial" w:hAnsiTheme="majorHAnsi" w:cstheme="majorHAnsi"/>
          <w:b/>
          <w:bCs/>
        </w:rPr>
        <w:t>2. Objeto, Objetivo e Escopo Preliminares</w:t>
      </w:r>
    </w:p>
    <w:p w14:paraId="190D1F21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</w:p>
    <w:p w14:paraId="000E7665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  <w:r w:rsidRPr="00AF2F34">
        <w:rPr>
          <w:rFonts w:asciiTheme="majorHAnsi" w:eastAsia="Arial" w:hAnsiTheme="majorHAnsi" w:cstheme="majorHAnsi"/>
          <w:b/>
          <w:bCs/>
        </w:rPr>
        <w:t>2.1 Objeto da Auditoria</w:t>
      </w:r>
    </w:p>
    <w:p w14:paraId="0C4422C0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</w:p>
    <w:p w14:paraId="45E0BBA9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</w:rPr>
      </w:pPr>
      <w:r w:rsidRPr="00AF2F34">
        <w:rPr>
          <w:rFonts w:asciiTheme="majorHAnsi" w:eastAsia="Arial" w:hAnsiTheme="majorHAnsi" w:cstheme="majorHAnsi"/>
        </w:rPr>
        <w:t>Conforme PAINT. Não pode ser alterado sem aprovação do Consup. Descrição clara e objetiva do objeto a ser auditado (processo, programa, ação, sistema, política, contrato ou atividade).</w:t>
      </w:r>
    </w:p>
    <w:p w14:paraId="598C1A5C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</w:p>
    <w:p w14:paraId="6EDC2C56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  <w:r w:rsidRPr="00AF2F34">
        <w:rPr>
          <w:rFonts w:asciiTheme="majorHAnsi" w:eastAsia="Arial" w:hAnsiTheme="majorHAnsi" w:cstheme="majorHAnsi"/>
          <w:b/>
          <w:bCs/>
        </w:rPr>
        <w:t>2.2 Objetivo Preliminar da Auditoria</w:t>
      </w:r>
    </w:p>
    <w:p w14:paraId="2BB8AF7F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</w:p>
    <w:p w14:paraId="0F9DD52F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</w:rPr>
      </w:pPr>
      <w:r w:rsidRPr="00AF2F34">
        <w:rPr>
          <w:rFonts w:asciiTheme="majorHAnsi" w:eastAsia="Arial" w:hAnsiTheme="majorHAnsi" w:cstheme="majorHAnsi"/>
        </w:rPr>
        <w:t>Conforme PAINT. Declaração do propósito do trabalho, alinhada à natureza do serviço e aos objetivos institucionais.</w:t>
      </w:r>
    </w:p>
    <w:p w14:paraId="35081BF4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  <w:r w:rsidRPr="00AF2F34">
        <w:rPr>
          <w:rFonts w:asciiTheme="majorHAnsi" w:eastAsia="Arial" w:hAnsiTheme="majorHAnsi" w:cstheme="majorHAnsi"/>
          <w:b/>
          <w:bCs/>
        </w:rPr>
        <w:t xml:space="preserve"> </w:t>
      </w:r>
    </w:p>
    <w:p w14:paraId="13253C1B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  <w:r w:rsidRPr="00AF2F34">
        <w:rPr>
          <w:rFonts w:asciiTheme="majorHAnsi" w:eastAsia="Arial" w:hAnsiTheme="majorHAnsi" w:cstheme="majorHAnsi"/>
          <w:b/>
          <w:bCs/>
        </w:rPr>
        <w:t>2.3 Escopo Preliminar Proposto</w:t>
      </w:r>
    </w:p>
    <w:p w14:paraId="6E86F652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</w:p>
    <w:p w14:paraId="167F90D5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</w:rPr>
      </w:pPr>
      <w:r w:rsidRPr="00AF2F34">
        <w:rPr>
          <w:rFonts w:asciiTheme="majorHAnsi" w:eastAsia="Arial" w:hAnsiTheme="majorHAnsi" w:cstheme="majorHAnsi"/>
        </w:rPr>
        <w:t>Conforme PAINT. Delimitação inicial do alcance do trabalho, indicando processos, unidades, períodos, atividades ou aspectos incluídos e excluídos.</w:t>
      </w:r>
    </w:p>
    <w:p w14:paraId="36E3F79F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  <w:r w:rsidRPr="00AF2F34">
        <w:rPr>
          <w:rFonts w:asciiTheme="majorHAnsi" w:eastAsia="Arial" w:hAnsiTheme="majorHAnsi" w:cstheme="majorHAnsi"/>
          <w:b/>
          <w:bCs/>
        </w:rPr>
        <w:lastRenderedPageBreak/>
        <w:t xml:space="preserve"> </w:t>
      </w:r>
    </w:p>
    <w:p w14:paraId="629F6A19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  <w:r w:rsidRPr="00AF2F34">
        <w:rPr>
          <w:rFonts w:asciiTheme="majorHAnsi" w:eastAsia="Arial" w:hAnsiTheme="majorHAnsi" w:cstheme="majorHAnsi"/>
          <w:b/>
          <w:bCs/>
        </w:rPr>
        <w:t>3. Entendimento do Processo e do Negócio</w:t>
      </w:r>
    </w:p>
    <w:p w14:paraId="23E36574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</w:p>
    <w:p w14:paraId="18B62B09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  <w:r w:rsidRPr="00AF2F34">
        <w:rPr>
          <w:rFonts w:asciiTheme="majorHAnsi" w:eastAsia="Arial" w:hAnsiTheme="majorHAnsi" w:cstheme="majorHAnsi"/>
          <w:b/>
          <w:bCs/>
        </w:rPr>
        <w:t>3.1 Processos Envolvidos</w:t>
      </w:r>
    </w:p>
    <w:p w14:paraId="24EE0526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</w:p>
    <w:p w14:paraId="1F9DA59A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</w:rPr>
      </w:pPr>
      <w:r w:rsidRPr="00AF2F34">
        <w:rPr>
          <w:rFonts w:asciiTheme="majorHAnsi" w:eastAsia="Arial" w:hAnsiTheme="majorHAnsi" w:cstheme="majorHAnsi"/>
        </w:rPr>
        <w:t>a) Processo(s) de negócio relacionado(s):</w:t>
      </w:r>
    </w:p>
    <w:p w14:paraId="7DE6DAA9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</w:rPr>
      </w:pPr>
      <w:r w:rsidRPr="00AF2F34">
        <w:rPr>
          <w:rFonts w:asciiTheme="majorHAnsi" w:eastAsia="Arial" w:hAnsiTheme="majorHAnsi" w:cstheme="majorHAnsi"/>
        </w:rPr>
        <w:t>b) Processo(s) de trabalho associado(s):</w:t>
      </w:r>
    </w:p>
    <w:p w14:paraId="1C5F7DCF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  <w:r w:rsidRPr="00AF2F34">
        <w:rPr>
          <w:rFonts w:asciiTheme="majorHAnsi" w:eastAsia="Arial" w:hAnsiTheme="majorHAnsi" w:cstheme="majorHAnsi"/>
          <w:b/>
          <w:bCs/>
        </w:rPr>
        <w:t xml:space="preserve"> </w:t>
      </w:r>
    </w:p>
    <w:p w14:paraId="166A1DC8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  <w:r w:rsidRPr="00AF2F34">
        <w:rPr>
          <w:rFonts w:asciiTheme="majorHAnsi" w:eastAsia="Arial" w:hAnsiTheme="majorHAnsi" w:cstheme="majorHAnsi"/>
          <w:b/>
          <w:bCs/>
        </w:rPr>
        <w:t>3.2 Governança do Processo</w:t>
      </w:r>
    </w:p>
    <w:p w14:paraId="59116D20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</w:p>
    <w:p w14:paraId="00054240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</w:rPr>
      </w:pPr>
      <w:r w:rsidRPr="00AF2F34">
        <w:rPr>
          <w:rFonts w:asciiTheme="majorHAnsi" w:eastAsia="Arial" w:hAnsiTheme="majorHAnsi" w:cstheme="majorHAnsi"/>
        </w:rPr>
        <w:t>a) Unidade administrativa responsável pela execução:</w:t>
      </w:r>
    </w:p>
    <w:p w14:paraId="30CAEEC5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</w:rPr>
      </w:pPr>
    </w:p>
    <w:p w14:paraId="64CB3464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</w:rPr>
      </w:pPr>
      <w:r w:rsidRPr="00AF2F34">
        <w:rPr>
          <w:rFonts w:asciiTheme="majorHAnsi" w:eastAsia="Arial" w:hAnsiTheme="majorHAnsi" w:cstheme="majorHAnsi"/>
        </w:rPr>
        <w:t>b) Dono do processo (cargo/função):</w:t>
      </w:r>
    </w:p>
    <w:p w14:paraId="268854F1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</w:rPr>
      </w:pPr>
    </w:p>
    <w:p w14:paraId="62A5C16F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</w:rPr>
      </w:pPr>
      <w:r w:rsidRPr="00AF2F34">
        <w:rPr>
          <w:rFonts w:asciiTheme="majorHAnsi" w:eastAsia="Arial" w:hAnsiTheme="majorHAnsi" w:cstheme="majorHAnsi"/>
        </w:rPr>
        <w:t>c) Principais atores e responsabilidades:</w:t>
      </w:r>
    </w:p>
    <w:p w14:paraId="5ED89F01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</w:p>
    <w:p w14:paraId="0BFAB69D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  <w:r w:rsidRPr="00AF2F34">
        <w:rPr>
          <w:rFonts w:asciiTheme="majorHAnsi" w:eastAsia="Arial" w:hAnsiTheme="majorHAnsi" w:cstheme="majorHAnsi"/>
          <w:b/>
          <w:bCs/>
        </w:rPr>
        <w:t xml:space="preserve"> </w:t>
      </w:r>
    </w:p>
    <w:p w14:paraId="2C3C5F1B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  <w:r w:rsidRPr="00AF2F34">
        <w:rPr>
          <w:rFonts w:asciiTheme="majorHAnsi" w:eastAsia="Arial" w:hAnsiTheme="majorHAnsi" w:cstheme="majorHAnsi"/>
          <w:b/>
          <w:bCs/>
        </w:rPr>
        <w:t>3.3 Insumos, Atividades e Produtos</w:t>
      </w:r>
    </w:p>
    <w:p w14:paraId="524D2C21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</w:p>
    <w:p w14:paraId="23195FE2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</w:rPr>
      </w:pPr>
      <w:r w:rsidRPr="00AF2F34">
        <w:rPr>
          <w:rFonts w:asciiTheme="majorHAnsi" w:eastAsia="Arial" w:hAnsiTheme="majorHAnsi" w:cstheme="majorHAnsi"/>
        </w:rPr>
        <w:t>a) Principais insumos (inputs):</w:t>
      </w:r>
    </w:p>
    <w:p w14:paraId="040C1CD5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</w:rPr>
      </w:pPr>
    </w:p>
    <w:p w14:paraId="1F80291C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</w:rPr>
      </w:pPr>
      <w:r w:rsidRPr="00AF2F34">
        <w:rPr>
          <w:rFonts w:asciiTheme="majorHAnsi" w:eastAsia="Arial" w:hAnsiTheme="majorHAnsi" w:cstheme="majorHAnsi"/>
        </w:rPr>
        <w:t>b) Principais atividades críticas:</w:t>
      </w:r>
    </w:p>
    <w:p w14:paraId="044CE1D9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</w:rPr>
      </w:pPr>
    </w:p>
    <w:p w14:paraId="12B5E001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</w:rPr>
      </w:pPr>
      <w:r w:rsidRPr="00AF2F34">
        <w:rPr>
          <w:rFonts w:asciiTheme="majorHAnsi" w:eastAsia="Arial" w:hAnsiTheme="majorHAnsi" w:cstheme="majorHAnsi"/>
        </w:rPr>
        <w:t>c) Produtos/entregas (outputs):</w:t>
      </w:r>
    </w:p>
    <w:p w14:paraId="63A16F6C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</w:p>
    <w:p w14:paraId="665F4F1E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  <w:r w:rsidRPr="00AF2F34">
        <w:rPr>
          <w:rFonts w:asciiTheme="majorHAnsi" w:eastAsia="Arial" w:hAnsiTheme="majorHAnsi" w:cstheme="majorHAnsi"/>
          <w:b/>
          <w:bCs/>
        </w:rPr>
        <w:t xml:space="preserve"> </w:t>
      </w:r>
    </w:p>
    <w:p w14:paraId="716B1A0C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  <w:r w:rsidRPr="00AF2F34">
        <w:rPr>
          <w:rFonts w:asciiTheme="majorHAnsi" w:eastAsia="Arial" w:hAnsiTheme="majorHAnsi" w:cstheme="majorHAnsi"/>
          <w:b/>
          <w:bCs/>
        </w:rPr>
        <w:t>3.4 Funcionamento do Processo no Contexto Multicampi (quando aplicável)</w:t>
      </w:r>
    </w:p>
    <w:p w14:paraId="3235CA89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</w:p>
    <w:p w14:paraId="34D32AA2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</w:rPr>
      </w:pPr>
      <w:r w:rsidRPr="00AF2F34">
        <w:rPr>
          <w:rFonts w:asciiTheme="majorHAnsi" w:eastAsia="Arial" w:hAnsiTheme="majorHAnsi" w:cstheme="majorHAnsi"/>
        </w:rPr>
        <w:t xml:space="preserve">Descrição das particularidades do processo no âmbito da Reitoria e dos </w:t>
      </w:r>
      <w:proofErr w:type="spellStart"/>
      <w:r w:rsidRPr="00AF2F34">
        <w:rPr>
          <w:rFonts w:asciiTheme="majorHAnsi" w:eastAsia="Arial" w:hAnsiTheme="majorHAnsi" w:cstheme="majorHAnsi"/>
        </w:rPr>
        <w:t>campi</w:t>
      </w:r>
      <w:proofErr w:type="spellEnd"/>
      <w:r w:rsidRPr="00AF2F34">
        <w:rPr>
          <w:rFonts w:asciiTheme="majorHAnsi" w:eastAsia="Arial" w:hAnsiTheme="majorHAnsi" w:cstheme="majorHAnsi"/>
        </w:rPr>
        <w:t>. Identificação de atividades coordenadas, descentralizações, padronizações e exceções.</w:t>
      </w:r>
    </w:p>
    <w:p w14:paraId="24174E76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  <w:r w:rsidRPr="00AF2F34">
        <w:rPr>
          <w:rFonts w:asciiTheme="majorHAnsi" w:eastAsia="Arial" w:hAnsiTheme="majorHAnsi" w:cstheme="majorHAnsi"/>
          <w:b/>
          <w:bCs/>
        </w:rPr>
        <w:t xml:space="preserve"> </w:t>
      </w:r>
    </w:p>
    <w:p w14:paraId="2D29D4E4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  <w:r w:rsidRPr="00AF2F34">
        <w:rPr>
          <w:rFonts w:asciiTheme="majorHAnsi" w:eastAsia="Arial" w:hAnsiTheme="majorHAnsi" w:cstheme="majorHAnsi"/>
          <w:b/>
          <w:bCs/>
        </w:rPr>
        <w:t>4. Alinhamento Estratégico e Relevância Institucional</w:t>
      </w:r>
    </w:p>
    <w:p w14:paraId="42C5EC52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</w:p>
    <w:p w14:paraId="38D9085E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  <w:r w:rsidRPr="00AF2F34">
        <w:rPr>
          <w:rFonts w:asciiTheme="majorHAnsi" w:eastAsia="Arial" w:hAnsiTheme="majorHAnsi" w:cstheme="majorHAnsi"/>
          <w:b/>
          <w:bCs/>
        </w:rPr>
        <w:t>4.1 Relação com o Planejamento Estratégico</w:t>
      </w:r>
    </w:p>
    <w:p w14:paraId="4BFEB8FC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</w:p>
    <w:p w14:paraId="7922DA4F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</w:rPr>
      </w:pPr>
      <w:r w:rsidRPr="00AF2F34">
        <w:rPr>
          <w:rFonts w:asciiTheme="majorHAnsi" w:eastAsia="Arial" w:hAnsiTheme="majorHAnsi" w:cstheme="majorHAnsi"/>
        </w:rPr>
        <w:t>Como o objeto é tratado no PDI vigente:</w:t>
      </w:r>
    </w:p>
    <w:p w14:paraId="1CA7D420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</w:rPr>
      </w:pPr>
    </w:p>
    <w:p w14:paraId="491DF293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</w:rPr>
      </w:pPr>
      <w:r w:rsidRPr="00AF2F34">
        <w:rPr>
          <w:rFonts w:asciiTheme="majorHAnsi" w:eastAsia="Arial" w:hAnsiTheme="majorHAnsi" w:cstheme="majorHAnsi"/>
        </w:rPr>
        <w:t>Objetivos e iniciativas estratégicas relacionadas:</w:t>
      </w:r>
    </w:p>
    <w:p w14:paraId="1CAEECB2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</w:rPr>
      </w:pPr>
    </w:p>
    <w:p w14:paraId="1CEFBE35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</w:rPr>
      </w:pPr>
      <w:r w:rsidRPr="00AF2F34">
        <w:rPr>
          <w:rFonts w:asciiTheme="majorHAnsi" w:eastAsia="Arial" w:hAnsiTheme="majorHAnsi" w:cstheme="majorHAnsi"/>
        </w:rPr>
        <w:t>Considerações sobre a abordagem do objeto nos últimos 03 (três) Relatórios de Gestão:</w:t>
      </w:r>
    </w:p>
    <w:p w14:paraId="3460B1B3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  <w:r w:rsidRPr="00AF2F34">
        <w:rPr>
          <w:rFonts w:asciiTheme="majorHAnsi" w:eastAsia="Arial" w:hAnsiTheme="majorHAnsi" w:cstheme="majorHAnsi"/>
          <w:b/>
          <w:bCs/>
        </w:rPr>
        <w:lastRenderedPageBreak/>
        <w:t xml:space="preserve"> </w:t>
      </w:r>
    </w:p>
    <w:p w14:paraId="7C8DED93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  <w:r w:rsidRPr="00AF2F34">
        <w:rPr>
          <w:rFonts w:asciiTheme="majorHAnsi" w:eastAsia="Arial" w:hAnsiTheme="majorHAnsi" w:cstheme="majorHAnsi"/>
          <w:b/>
          <w:bCs/>
        </w:rPr>
        <w:t>4.2 Indicadores de Desempenho</w:t>
      </w:r>
    </w:p>
    <w:p w14:paraId="12D96D36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</w:p>
    <w:p w14:paraId="6BE02087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</w:rPr>
      </w:pPr>
      <w:r w:rsidRPr="00AF2F34">
        <w:rPr>
          <w:rFonts w:asciiTheme="majorHAnsi" w:eastAsia="Arial" w:hAnsiTheme="majorHAnsi" w:cstheme="majorHAnsi"/>
        </w:rPr>
        <w:t>Indicadores institucionais, gerenciais ou operacionais associados ao objeto (quando existentes).</w:t>
      </w:r>
    </w:p>
    <w:p w14:paraId="104CCC43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</w:rPr>
      </w:pPr>
      <w:r w:rsidRPr="00AF2F34">
        <w:rPr>
          <w:rFonts w:asciiTheme="majorHAnsi" w:eastAsia="Arial" w:hAnsiTheme="majorHAnsi" w:cstheme="majorHAnsi"/>
        </w:rPr>
        <w:t xml:space="preserve"> </w:t>
      </w:r>
    </w:p>
    <w:p w14:paraId="6D44EB7F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  <w:r w:rsidRPr="00AF2F34">
        <w:rPr>
          <w:rFonts w:asciiTheme="majorHAnsi" w:eastAsia="Arial" w:hAnsiTheme="majorHAnsi" w:cstheme="majorHAnsi"/>
          <w:b/>
          <w:bCs/>
        </w:rPr>
        <w:t>4.3 Relevância, Materialidade e Criticidade</w:t>
      </w:r>
    </w:p>
    <w:p w14:paraId="2FE69C40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</w:p>
    <w:p w14:paraId="080B5A15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  <w:r w:rsidRPr="00AF2F34">
        <w:rPr>
          <w:rFonts w:asciiTheme="majorHAnsi" w:eastAsia="Arial" w:hAnsiTheme="majorHAnsi" w:cstheme="majorHAnsi"/>
          <w:b/>
          <w:bCs/>
        </w:rPr>
        <w:t>a) Análise qualitativa da importância do objeto, considerando, entre outros fatores:</w:t>
      </w:r>
    </w:p>
    <w:p w14:paraId="368B7D52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</w:rPr>
      </w:pPr>
      <w:r w:rsidRPr="00AF2F34">
        <w:rPr>
          <w:rFonts w:asciiTheme="majorHAnsi" w:eastAsia="Arial" w:hAnsiTheme="majorHAnsi" w:cstheme="majorHAnsi"/>
        </w:rPr>
        <w:t>i. Impacto nos objetivos institucionais;</w:t>
      </w:r>
    </w:p>
    <w:p w14:paraId="20537447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</w:rPr>
      </w:pPr>
      <w:proofErr w:type="spellStart"/>
      <w:r w:rsidRPr="00AF2F34">
        <w:rPr>
          <w:rFonts w:asciiTheme="majorHAnsi" w:eastAsia="Arial" w:hAnsiTheme="majorHAnsi" w:cstheme="majorHAnsi"/>
        </w:rPr>
        <w:t>ii</w:t>
      </w:r>
      <w:proofErr w:type="spellEnd"/>
      <w:r w:rsidRPr="00AF2F34">
        <w:rPr>
          <w:rFonts w:asciiTheme="majorHAnsi" w:eastAsia="Arial" w:hAnsiTheme="majorHAnsi" w:cstheme="majorHAnsi"/>
        </w:rPr>
        <w:t>. Abrangência institucional;</w:t>
      </w:r>
    </w:p>
    <w:p w14:paraId="3CA09831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</w:rPr>
      </w:pPr>
      <w:proofErr w:type="spellStart"/>
      <w:r w:rsidRPr="00AF2F34">
        <w:rPr>
          <w:rFonts w:asciiTheme="majorHAnsi" w:eastAsia="Arial" w:hAnsiTheme="majorHAnsi" w:cstheme="majorHAnsi"/>
        </w:rPr>
        <w:t>iii</w:t>
      </w:r>
      <w:proofErr w:type="spellEnd"/>
      <w:r w:rsidRPr="00AF2F34">
        <w:rPr>
          <w:rFonts w:asciiTheme="majorHAnsi" w:eastAsia="Arial" w:hAnsiTheme="majorHAnsi" w:cstheme="majorHAnsi"/>
        </w:rPr>
        <w:t>. Volume de recursos envolvidos (quando aplicável);</w:t>
      </w:r>
    </w:p>
    <w:p w14:paraId="77FB65D1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</w:rPr>
      </w:pPr>
      <w:proofErr w:type="spellStart"/>
      <w:r w:rsidRPr="00AF2F34">
        <w:rPr>
          <w:rFonts w:asciiTheme="majorHAnsi" w:eastAsia="Arial" w:hAnsiTheme="majorHAnsi" w:cstheme="majorHAnsi"/>
        </w:rPr>
        <w:t>iv</w:t>
      </w:r>
      <w:proofErr w:type="spellEnd"/>
      <w:r w:rsidRPr="00AF2F34">
        <w:rPr>
          <w:rFonts w:asciiTheme="majorHAnsi" w:eastAsia="Arial" w:hAnsiTheme="majorHAnsi" w:cstheme="majorHAnsi"/>
        </w:rPr>
        <w:t>. Sensibilidade institucional, social ou regulatória;</w:t>
      </w:r>
    </w:p>
    <w:p w14:paraId="027DF0DA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</w:rPr>
      </w:pPr>
      <w:r w:rsidRPr="00AF2F34">
        <w:rPr>
          <w:rFonts w:asciiTheme="majorHAnsi" w:eastAsia="Arial" w:hAnsiTheme="majorHAnsi" w:cstheme="majorHAnsi"/>
        </w:rPr>
        <w:t>v. Exposição a riscos relevantes (em articulação com a matriz de riscos).</w:t>
      </w:r>
    </w:p>
    <w:p w14:paraId="348D7A4B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  <w:r w:rsidRPr="00AF2F34">
        <w:rPr>
          <w:rFonts w:asciiTheme="majorHAnsi" w:eastAsia="Arial" w:hAnsiTheme="majorHAnsi" w:cstheme="majorHAnsi"/>
          <w:b/>
          <w:bCs/>
        </w:rPr>
        <w:t xml:space="preserve">  </w:t>
      </w:r>
    </w:p>
    <w:p w14:paraId="32995156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  <w:r w:rsidRPr="00AF2F34">
        <w:rPr>
          <w:rFonts w:asciiTheme="majorHAnsi" w:eastAsia="Arial" w:hAnsiTheme="majorHAnsi" w:cstheme="majorHAnsi"/>
          <w:b/>
          <w:bCs/>
        </w:rPr>
        <w:t>5. Estrutura Organizacional e Recursos Envolvidos</w:t>
      </w:r>
    </w:p>
    <w:p w14:paraId="0617A59A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</w:p>
    <w:p w14:paraId="3ED222AA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</w:rPr>
      </w:pPr>
      <w:r w:rsidRPr="00AF2F34">
        <w:rPr>
          <w:rFonts w:asciiTheme="majorHAnsi" w:eastAsia="Arial" w:hAnsiTheme="majorHAnsi" w:cstheme="majorHAnsi"/>
        </w:rPr>
        <w:t>a) Estrutura organizacional da unidade (organograma):</w:t>
      </w:r>
    </w:p>
    <w:p w14:paraId="1E88A61B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</w:rPr>
      </w:pPr>
      <w:r w:rsidRPr="00AF2F34">
        <w:rPr>
          <w:rFonts w:asciiTheme="majorHAnsi" w:eastAsia="Arial" w:hAnsiTheme="majorHAnsi" w:cstheme="majorHAnsi"/>
        </w:rPr>
        <w:t>b) Servidores envolvidos diretamente no processo (nome, cargo/função):</w:t>
      </w:r>
    </w:p>
    <w:p w14:paraId="7B59252F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</w:rPr>
      </w:pPr>
      <w:r w:rsidRPr="00AF2F34">
        <w:rPr>
          <w:rFonts w:asciiTheme="majorHAnsi" w:eastAsia="Arial" w:hAnsiTheme="majorHAnsi" w:cstheme="majorHAnsi"/>
        </w:rPr>
        <w:t>c) Capacidade operacional percebida (quando relevante):</w:t>
      </w:r>
    </w:p>
    <w:p w14:paraId="25F471F0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  <w:r w:rsidRPr="00AF2F34">
        <w:rPr>
          <w:rFonts w:asciiTheme="majorHAnsi" w:eastAsia="Arial" w:hAnsiTheme="majorHAnsi" w:cstheme="majorHAnsi"/>
          <w:b/>
          <w:bCs/>
        </w:rPr>
        <w:t xml:space="preserve">  </w:t>
      </w:r>
    </w:p>
    <w:p w14:paraId="2DC3D363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  <w:r w:rsidRPr="00AF2F34">
        <w:rPr>
          <w:rFonts w:asciiTheme="majorHAnsi" w:eastAsia="Arial" w:hAnsiTheme="majorHAnsi" w:cstheme="majorHAnsi"/>
          <w:b/>
          <w:bCs/>
        </w:rPr>
        <w:t>6. Sistemas, Informações e Tecnologia</w:t>
      </w:r>
    </w:p>
    <w:p w14:paraId="21523E87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</w:p>
    <w:p w14:paraId="4C915694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</w:rPr>
      </w:pPr>
      <w:r w:rsidRPr="00AF2F34">
        <w:rPr>
          <w:rFonts w:asciiTheme="majorHAnsi" w:eastAsia="Arial" w:hAnsiTheme="majorHAnsi" w:cstheme="majorHAnsi"/>
        </w:rPr>
        <w:t>a) Sistemas informatizados utilizados no processo:</w:t>
      </w:r>
    </w:p>
    <w:p w14:paraId="7EB34EE4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</w:rPr>
      </w:pPr>
      <w:r w:rsidRPr="00AF2F34">
        <w:rPr>
          <w:rFonts w:asciiTheme="majorHAnsi" w:eastAsia="Arial" w:hAnsiTheme="majorHAnsi" w:cstheme="majorHAnsi"/>
        </w:rPr>
        <w:t>b) Integrações relevantes com outros sistemas:</w:t>
      </w:r>
    </w:p>
    <w:p w14:paraId="3FE68CF2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</w:rPr>
      </w:pPr>
      <w:r w:rsidRPr="00AF2F34">
        <w:rPr>
          <w:rFonts w:asciiTheme="majorHAnsi" w:eastAsia="Arial" w:hAnsiTheme="majorHAnsi" w:cstheme="majorHAnsi"/>
        </w:rPr>
        <w:t>c) Dependência de dados, relatórios ou bases corporativas:</w:t>
      </w:r>
    </w:p>
    <w:p w14:paraId="0AB9ED2B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  <w:r w:rsidRPr="00AF2F34">
        <w:rPr>
          <w:rFonts w:asciiTheme="majorHAnsi" w:eastAsia="Arial" w:hAnsiTheme="majorHAnsi" w:cstheme="majorHAnsi"/>
          <w:b/>
          <w:bCs/>
        </w:rPr>
        <w:t xml:space="preserve"> </w:t>
      </w:r>
    </w:p>
    <w:p w14:paraId="19CC4884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  <w:r w:rsidRPr="00AF2F34">
        <w:rPr>
          <w:rFonts w:asciiTheme="majorHAnsi" w:eastAsia="Arial" w:hAnsiTheme="majorHAnsi" w:cstheme="majorHAnsi"/>
          <w:b/>
          <w:bCs/>
        </w:rPr>
        <w:t xml:space="preserve"> </w:t>
      </w:r>
    </w:p>
    <w:p w14:paraId="4D06A4C7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  <w:r w:rsidRPr="00AF2F34">
        <w:rPr>
          <w:rFonts w:asciiTheme="majorHAnsi" w:eastAsia="Arial" w:hAnsiTheme="majorHAnsi" w:cstheme="majorHAnsi"/>
          <w:b/>
          <w:bCs/>
        </w:rPr>
        <w:t>8. Referencial Normativo Aplicável</w:t>
      </w:r>
    </w:p>
    <w:p w14:paraId="7D311F12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</w:p>
    <w:p w14:paraId="12EC424F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  <w:r w:rsidRPr="00AF2F34">
        <w:rPr>
          <w:rFonts w:asciiTheme="majorHAnsi" w:eastAsia="Arial" w:hAnsiTheme="majorHAnsi" w:cstheme="majorHAnsi"/>
          <w:b/>
          <w:bCs/>
        </w:rPr>
        <w:t>8.1 Normas Externas</w:t>
      </w:r>
    </w:p>
    <w:p w14:paraId="743351FA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</w:rPr>
      </w:pPr>
    </w:p>
    <w:p w14:paraId="0CB88647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</w:rPr>
      </w:pPr>
      <w:r w:rsidRPr="00AF2F34">
        <w:rPr>
          <w:rFonts w:asciiTheme="majorHAnsi" w:eastAsia="Arial" w:hAnsiTheme="majorHAnsi" w:cstheme="majorHAnsi"/>
        </w:rPr>
        <w:t>Leis, decretos, regulamentos e demais normas aplicáveis ao objeto.</w:t>
      </w:r>
    </w:p>
    <w:p w14:paraId="1E040067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</w:p>
    <w:p w14:paraId="1A902226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  <w:r w:rsidRPr="00AF2F34">
        <w:rPr>
          <w:rFonts w:asciiTheme="majorHAnsi" w:eastAsia="Arial" w:hAnsiTheme="majorHAnsi" w:cstheme="majorHAnsi"/>
          <w:b/>
          <w:bCs/>
        </w:rPr>
        <w:t>8.2 Normas Internas</w:t>
      </w:r>
    </w:p>
    <w:p w14:paraId="0444D89F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</w:rPr>
      </w:pPr>
    </w:p>
    <w:p w14:paraId="267ABE29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</w:rPr>
      </w:pPr>
      <w:r w:rsidRPr="00AF2F34">
        <w:rPr>
          <w:rFonts w:asciiTheme="majorHAnsi" w:eastAsia="Arial" w:hAnsiTheme="majorHAnsi" w:cstheme="majorHAnsi"/>
        </w:rPr>
        <w:t>Resoluções, portarias, instruções normativas internas, manuais e procedimentos do IFSC.</w:t>
      </w:r>
    </w:p>
    <w:p w14:paraId="25214AC8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</w:p>
    <w:p w14:paraId="4DDDE0C4" w14:textId="6D45AD96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  <w:r w:rsidRPr="00AF2F34">
        <w:rPr>
          <w:rFonts w:asciiTheme="majorHAnsi" w:eastAsia="Arial" w:hAnsiTheme="majorHAnsi" w:cstheme="majorHAnsi"/>
          <w:b/>
          <w:bCs/>
        </w:rPr>
        <w:t>8.3 Orientações e Jurisprudência</w:t>
      </w:r>
    </w:p>
    <w:p w14:paraId="3B4BFD6A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</w:p>
    <w:p w14:paraId="5404B00B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</w:rPr>
      </w:pPr>
      <w:r w:rsidRPr="00AF2F34">
        <w:rPr>
          <w:rFonts w:asciiTheme="majorHAnsi" w:eastAsia="Arial" w:hAnsiTheme="majorHAnsi" w:cstheme="majorHAnsi"/>
        </w:rPr>
        <w:t>Orientações técnicas da CGU, decisões e acórdãos do TCU, quando pertinentes.</w:t>
      </w:r>
    </w:p>
    <w:p w14:paraId="52E284F7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  <w:r w:rsidRPr="00AF2F34">
        <w:rPr>
          <w:rFonts w:asciiTheme="majorHAnsi" w:eastAsia="Arial" w:hAnsiTheme="majorHAnsi" w:cstheme="majorHAnsi"/>
          <w:b/>
          <w:bCs/>
        </w:rPr>
        <w:lastRenderedPageBreak/>
        <w:t xml:space="preserve"> </w:t>
      </w:r>
    </w:p>
    <w:p w14:paraId="5713D1F1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  <w:r w:rsidRPr="00AF2F34">
        <w:rPr>
          <w:rFonts w:asciiTheme="majorHAnsi" w:eastAsia="Arial" w:hAnsiTheme="majorHAnsi" w:cstheme="majorHAnsi"/>
          <w:b/>
          <w:bCs/>
        </w:rPr>
        <w:t>9. Trabalhos Anteriores e Atuação dos Órgãos de Controle</w:t>
      </w:r>
    </w:p>
    <w:p w14:paraId="40DC74A5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</w:p>
    <w:p w14:paraId="2E69FF11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  <w:r w:rsidRPr="00AF2F34">
        <w:rPr>
          <w:rFonts w:asciiTheme="majorHAnsi" w:eastAsia="Arial" w:hAnsiTheme="majorHAnsi" w:cstheme="majorHAnsi"/>
          <w:b/>
          <w:bCs/>
        </w:rPr>
        <w:t>9.1 Histórico de Trabalhos</w:t>
      </w:r>
    </w:p>
    <w:p w14:paraId="43B2241C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</w:rPr>
      </w:pPr>
    </w:p>
    <w:p w14:paraId="336AF3F6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</w:rPr>
      </w:pPr>
      <w:r w:rsidRPr="00AF2F34">
        <w:rPr>
          <w:rFonts w:asciiTheme="majorHAnsi" w:eastAsia="Arial" w:hAnsiTheme="majorHAnsi" w:cstheme="majorHAnsi"/>
        </w:rPr>
        <w:t>Auditorias, fiscalizações ou avaliações anteriores realizadas pela UAIG, CGU ou TCU relacionadas ao objeto.</w:t>
      </w:r>
    </w:p>
    <w:p w14:paraId="291DF478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  <w:r w:rsidRPr="00AF2F34">
        <w:rPr>
          <w:rFonts w:asciiTheme="majorHAnsi" w:eastAsia="Arial" w:hAnsiTheme="majorHAnsi" w:cstheme="majorHAnsi"/>
          <w:b/>
          <w:bCs/>
        </w:rPr>
        <w:t xml:space="preserve"> </w:t>
      </w:r>
    </w:p>
    <w:p w14:paraId="7D3859BC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  <w:r w:rsidRPr="00AF2F34">
        <w:rPr>
          <w:rFonts w:asciiTheme="majorHAnsi" w:eastAsia="Arial" w:hAnsiTheme="majorHAnsi" w:cstheme="majorHAnsi"/>
          <w:b/>
          <w:bCs/>
        </w:rPr>
        <w:t>9.2 Achados e Recomendações Relevantes</w:t>
      </w:r>
    </w:p>
    <w:p w14:paraId="7CE9823F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  <w:b/>
          <w:bCs/>
        </w:rPr>
      </w:pPr>
    </w:p>
    <w:p w14:paraId="75D77FB3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</w:rPr>
      </w:pPr>
      <w:r w:rsidRPr="00AF2F34">
        <w:rPr>
          <w:rFonts w:asciiTheme="majorHAnsi" w:eastAsia="Arial" w:hAnsiTheme="majorHAnsi" w:cstheme="majorHAnsi"/>
        </w:rPr>
        <w:t>Principais achados identificados nos últimos 5 anos;</w:t>
      </w:r>
    </w:p>
    <w:p w14:paraId="3A51C581" w14:textId="77777777" w:rsidR="00F534E8" w:rsidRPr="00AF2F34" w:rsidRDefault="00F534E8" w:rsidP="00F534E8">
      <w:pPr>
        <w:spacing w:line="276" w:lineRule="auto"/>
        <w:rPr>
          <w:rFonts w:asciiTheme="majorHAnsi" w:eastAsia="Arial" w:hAnsiTheme="majorHAnsi" w:cstheme="majorHAnsi"/>
        </w:rPr>
      </w:pPr>
    </w:p>
    <w:p w14:paraId="608805B1" w14:textId="674AE059" w:rsidR="00CA02FC" w:rsidRPr="00AF2F34" w:rsidRDefault="00F534E8" w:rsidP="00F534E8">
      <w:pPr>
        <w:spacing w:line="276" w:lineRule="auto"/>
        <w:rPr>
          <w:rFonts w:asciiTheme="majorHAnsi" w:eastAsia="Arial" w:hAnsiTheme="majorHAnsi" w:cstheme="majorHAnsi"/>
        </w:rPr>
      </w:pPr>
      <w:r w:rsidRPr="00AF2F34">
        <w:rPr>
          <w:rFonts w:asciiTheme="majorHAnsi" w:eastAsia="Arial" w:hAnsiTheme="majorHAnsi" w:cstheme="majorHAnsi"/>
        </w:rPr>
        <w:t>Recomendações expedidas e situação de implementação (quando conhecida).</w:t>
      </w:r>
    </w:p>
    <w:p w14:paraId="5D4F2F44" w14:textId="77777777" w:rsidR="00CA02FC" w:rsidRPr="00AF2F34" w:rsidRDefault="00CA02FC">
      <w:pPr>
        <w:spacing w:line="276" w:lineRule="auto"/>
        <w:jc w:val="center"/>
        <w:rPr>
          <w:rFonts w:asciiTheme="majorHAnsi" w:eastAsia="Arial" w:hAnsiTheme="majorHAnsi" w:cstheme="majorHAnsi"/>
        </w:rPr>
      </w:pPr>
    </w:p>
    <w:sectPr w:rsidR="00CA02FC" w:rsidRPr="00AF2F34">
      <w:headerReference w:type="default" r:id="rId6"/>
      <w:footerReference w:type="default" r:id="rId7"/>
      <w:pgSz w:w="11906" w:h="16838"/>
      <w:pgMar w:top="1842" w:right="1139" w:bottom="1535" w:left="1133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4CC21C" w14:textId="77777777" w:rsidR="001B616A" w:rsidRDefault="001B616A">
      <w:r>
        <w:separator/>
      </w:r>
    </w:p>
  </w:endnote>
  <w:endnote w:type="continuationSeparator" w:id="0">
    <w:p w14:paraId="18940028" w14:textId="77777777" w:rsidR="001B616A" w:rsidRDefault="001B61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" w:fontKey="{FAF2EB2E-6994-46ED-9AED-821348F4BCDF}"/>
    <w:embedBold r:id="rId2" w:fontKey="{F4519E42-7895-4A02-ACF5-7952448AB7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8E749721-B969-4521-BF16-FCD007075A6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D5507F0-74D0-4239-A963-5D8BF6949E6F}"/>
    <w:embedBold r:id="rId5" w:fontKey="{19899CA0-1173-49DF-8B24-04754B6980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6" w:fontKey="{3BA2C8B4-F9DB-41BA-872B-65C28819A1C7}"/>
    <w:embedBold r:id="rId7" w:fontKey="{648DB567-8F0A-4DAC-A36A-52530D162C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E3A1B48-D8E0-451B-88D9-D7AD707C30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3349B7" w14:textId="77777777" w:rsidR="00CA02FC" w:rsidRDefault="00000000">
    <w:pPr>
      <w:spacing w:before="240"/>
      <w:jc w:val="center"/>
      <w:rPr>
        <w:rFonts w:ascii="Roboto" w:eastAsia="Roboto" w:hAnsi="Roboto" w:cs="Roboto"/>
        <w:sz w:val="18"/>
        <w:szCs w:val="18"/>
      </w:rPr>
    </w:pPr>
    <w:r>
      <w:rPr>
        <w:rFonts w:ascii="Roboto" w:eastAsia="Roboto" w:hAnsi="Roboto" w:cs="Roboto"/>
        <w:b/>
        <w:bCs/>
        <w:color w:val="008000"/>
        <w:sz w:val="18"/>
        <w:szCs w:val="18"/>
      </w:rPr>
      <w:t>Instituto Federal de Santa Catarina – Reitoria</w:t>
    </w:r>
    <w:r>
      <w:rPr>
        <w:rFonts w:ascii="Roboto" w:eastAsia="Roboto" w:hAnsi="Roboto" w:cs="Roboto"/>
        <w:b/>
        <w:bCs/>
        <w:color w:val="008000"/>
        <w:sz w:val="18"/>
        <w:szCs w:val="18"/>
      </w:rPr>
      <w:br/>
    </w:r>
    <w:r>
      <w:rPr>
        <w:rFonts w:ascii="Roboto" w:eastAsia="Roboto" w:hAnsi="Roboto" w:cs="Roboto"/>
        <w:sz w:val="18"/>
        <w:szCs w:val="18"/>
      </w:rPr>
      <w:t>Rua: 14 de julho, 150 | Coqueiros | Florianópolis /SC | CEP: 88.075-010</w:t>
    </w:r>
    <w:r>
      <w:rPr>
        <w:rFonts w:ascii="Roboto" w:eastAsia="Roboto" w:hAnsi="Roboto" w:cs="Roboto"/>
        <w:sz w:val="18"/>
        <w:szCs w:val="18"/>
      </w:rPr>
      <w:br/>
      <w:t>Fone: (48) 3877-9000 | www.ifsc.edu.br | CNPJ 11.402.887/0001-60</w:t>
    </w:r>
  </w:p>
  <w:p w14:paraId="5F9FB49D" w14:textId="77777777" w:rsidR="00CA02FC" w:rsidRDefault="00CA02FC">
    <w:pPr>
      <w:rPr>
        <w:rFonts w:ascii="Roboto" w:eastAsia="Roboto" w:hAnsi="Roboto" w:cs="Robot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A55AE7" w14:textId="77777777" w:rsidR="001B616A" w:rsidRDefault="001B616A">
      <w:r>
        <w:separator/>
      </w:r>
    </w:p>
  </w:footnote>
  <w:footnote w:type="continuationSeparator" w:id="0">
    <w:p w14:paraId="12C42AD6" w14:textId="77777777" w:rsidR="001B616A" w:rsidRDefault="001B61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5AD43" w14:textId="77777777" w:rsidR="00CA02FC" w:rsidRDefault="00000000">
    <w:r>
      <w:rPr>
        <w:noProof/>
      </w:rPr>
      <w:drawing>
        <wp:anchor distT="0" distB="0" distL="0" distR="0" simplePos="0" relativeHeight="251658240" behindDoc="0" locked="0" layoutInCell="1" hidden="0" allowOverlap="1" wp14:anchorId="106756C4" wp14:editId="677861D6">
          <wp:simplePos x="0" y="0"/>
          <wp:positionH relativeFrom="column">
            <wp:posOffset>0</wp:posOffset>
          </wp:positionH>
          <wp:positionV relativeFrom="paragraph">
            <wp:posOffset>233250</wp:posOffset>
          </wp:positionV>
          <wp:extent cx="6120130" cy="663575"/>
          <wp:effectExtent l="0" t="0" r="0" b="0"/>
          <wp:wrapTopAndBottom distT="0" dist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0130" cy="663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02FC"/>
    <w:rsid w:val="001B616A"/>
    <w:rsid w:val="00541BC1"/>
    <w:rsid w:val="00AE608A"/>
    <w:rsid w:val="00AF2F34"/>
    <w:rsid w:val="00CA02FC"/>
    <w:rsid w:val="00F53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AB1474"/>
  <w15:docId w15:val="{218C0626-9A8F-4E3B-9C8B-EA341443E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F534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577</Words>
  <Characters>3120</Characters>
  <Application>Microsoft Office Word</Application>
  <DocSecurity>0</DocSecurity>
  <Lines>26</Lines>
  <Paragraphs>7</Paragraphs>
  <ScaleCrop>false</ScaleCrop>
  <Company/>
  <LinksUpToDate>false</LinksUpToDate>
  <CharactersWithSpaces>3690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Gregory</dc:creator>
  <cp:lastModifiedBy>Gregory Mancin</cp:lastModifiedBy>
  <cp:revision>6</cp:revision>
  <dcterms:created xsi:type="dcterms:W3CDTF">2026-01-19T12:43:00Z</dcterms:created>
  <dcterms:modified xsi:type="dcterms:W3CDTF">2026-01-19T12:51:00Z</dcterms:modified>
</cp:coreProperties>
</file>