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ntTable.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header2.xml" ContentType="application/vnd.openxmlformats-officedocument.wordprocessingml.header+xml"/>
  <Override PartName="/word/fonts/font13.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8.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4.odttf" ContentType="application/vnd.openxmlformats-officedocument.obfuscatedFont"/>
  <Override PartName="/word/fonts/font4.odttf" ContentType="application/vnd.openxmlformats-officedocument.obfuscatedFont"/>
  <Override PartName="/word/fonts/font9.odttf" ContentType="application/vnd.openxmlformats-officedocument.obfuscatedFont"/>
  <Override PartName="/word/fonts/font18.odttf" ContentType="application/vnd.openxmlformats-officedocument.obfuscatedFont"/>
  <Override PartName="/word/fonts/font3.odttf" ContentType="application/vnd.openxmlformats-officedocument.obfuscatedFont"/>
  <Override PartName="/word/fonts/font24.odttf" ContentType="application/vnd.openxmlformats-officedocument.obfuscatedFont"/>
  <Override PartName="/word/fonts/font23.odttf" ContentType="application/vnd.openxmlformats-officedocument.obfuscatedFont"/>
  <Override PartName="/word/fonts/font22.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11.odttf" ContentType="application/vnd.openxmlformats-officedocument.obfuscatedFont"/>
  <Override PartName="/word/fonts/font15.odttf" ContentType="application/vnd.openxmlformats-officedocument.obfuscatedFont"/>
  <Override PartName="/word/fonts/font1.odttf" ContentType="application/vnd.openxmlformats-officedocument.obfuscatedFont"/>
  <Override PartName="/word/fonts/font16.odttf" ContentType="application/vnd.openxmlformats-officedocument.obfuscatedFont"/>
  <Override PartName="/word/fonts/font7.odttf" ContentType="application/vnd.openxmlformats-officedocument.obfuscatedFont"/>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t xml:space="preserve">Edital </w:t>
      </w:r>
      <w:r>
        <w:rPr>
          <w:rFonts w:eastAsia="Arial" w:cs="Arial" w:ascii="Arial" w:hAnsi="Arial"/>
          <w:b/>
          <w:bCs/>
          <w:sz w:val="22"/>
          <w:szCs w:val="22"/>
          <w:shd w:fill="FFFFFF" w:val="clear"/>
        </w:rPr>
        <w:t>03/2</w:t>
      </w:r>
      <w:r>
        <w:rPr>
          <w:rFonts w:eastAsia="Arial" w:cs="Arial" w:ascii="Arial" w:hAnsi="Arial"/>
          <w:b/>
          <w:bCs/>
          <w:sz w:val="22"/>
          <w:szCs w:val="22"/>
        </w:rPr>
        <w:t>026</w:t>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t xml:space="preserve">Chamada pública simplificada </w:t>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t xml:space="preserve">para seleção de bolsistas </w:t>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r>
    </w:p>
    <w:p>
      <w:pPr>
        <w:pStyle w:val="Normal"/>
        <w:spacing w:lineRule="auto" w:line="276"/>
        <w:jc w:val="center"/>
        <w:rPr>
          <w:rFonts w:ascii="Arial" w:hAnsi="Arial" w:eastAsia="Arial" w:cs="Arial"/>
          <w:b/>
          <w:b/>
          <w:bCs/>
          <w:color w:val="222222"/>
          <w:sz w:val="22"/>
          <w:szCs w:val="22"/>
          <w:highlight w:val="white"/>
        </w:rPr>
      </w:pPr>
      <w:r>
        <w:rPr>
          <w:rFonts w:eastAsia="Arial" w:cs="Arial" w:ascii="Arial" w:hAnsi="Arial"/>
          <w:b/>
          <w:bCs/>
          <w:color w:val="222222"/>
          <w:sz w:val="22"/>
          <w:szCs w:val="22"/>
          <w:highlight w:val="white"/>
        </w:rPr>
      </w:r>
    </w:p>
    <w:p>
      <w:pPr>
        <w:pStyle w:val="Normal"/>
        <w:spacing w:lineRule="auto" w:line="276"/>
        <w:jc w:val="center"/>
        <w:rPr>
          <w:rFonts w:ascii="Arial" w:hAnsi="Arial" w:eastAsia="Arial" w:cs="Arial"/>
          <w:b/>
          <w:b/>
          <w:bCs/>
          <w:color w:val="FF0000"/>
          <w:sz w:val="26"/>
          <w:szCs w:val="26"/>
        </w:rPr>
      </w:pPr>
      <w:r>
        <w:rPr>
          <w:rFonts w:eastAsia="Arial" w:cs="Arial" w:ascii="Arial" w:hAnsi="Arial"/>
          <w:b/>
          <w:bCs/>
          <w:color w:val="FF0000"/>
          <w:sz w:val="26"/>
          <w:szCs w:val="26"/>
        </w:rPr>
        <w:t>RETIFICADO  28/04/2026</w:t>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jc w:val="center"/>
        <w:rPr>
          <w:rFonts w:ascii="Arial" w:hAnsi="Arial" w:eastAsia="Arial" w:cs="Arial"/>
          <w:b/>
          <w:b/>
          <w:bCs/>
          <w:sz w:val="22"/>
          <w:szCs w:val="22"/>
        </w:rPr>
      </w:pPr>
      <w:r>
        <w:rPr>
          <w:rFonts w:eastAsia="Arial" w:cs="Arial" w:ascii="Arial" w:hAnsi="Arial"/>
          <w:b/>
          <w:bCs/>
          <w:sz w:val="22"/>
          <w:szCs w:val="22"/>
        </w:rPr>
      </w:r>
    </w:p>
    <w:p>
      <w:pPr>
        <w:pStyle w:val="Normal"/>
        <w:spacing w:lineRule="auto" w:line="276"/>
        <w:ind w:left="4745" w:hanging="0"/>
        <w:jc w:val="both"/>
        <w:rPr/>
      </w:pPr>
      <w:bookmarkStart w:id="0" w:name="_ajpkxn37q25w"/>
      <w:bookmarkEnd w:id="0"/>
      <w:r>
        <w:rPr>
          <w:rFonts w:eastAsia="Arial" w:cs="Arial" w:ascii="Arial" w:hAnsi="Arial"/>
          <w:b/>
          <w:bCs/>
          <w:sz w:val="22"/>
          <w:szCs w:val="22"/>
        </w:rPr>
        <w:t>Chamada interna de seleção de estudantes bolsistas do Câmpus Florianópolis-Continente para atuar no PROJETO “ENOTURISMO COMO IMPULSO ECONÔMICO E MERCADOLÓGICO NA DENOMINAÇÃO DE ORIGEM VALES DA UVA GOETHE”, aprovado pelo EDITAL IFES Nº 12/2025</w:t>
      </w:r>
      <w:r>
        <w:rPr/>
        <w:t xml:space="preserve"> - </w:t>
      </w:r>
      <w:r>
        <w:rPr>
          <w:rFonts w:eastAsia="Arial" w:cs="Arial" w:ascii="Arial" w:hAnsi="Arial"/>
          <w:b/>
          <w:bCs/>
          <w:sz w:val="22"/>
          <w:szCs w:val="22"/>
        </w:rPr>
        <w:t>SELEÇÃO DE PROJETOS PARA PROMOÇÃO DAS INDICAÇÕES GEOGRÁFICAS</w:t>
      </w:r>
    </w:p>
    <w:p>
      <w:pPr>
        <w:pStyle w:val="Normal"/>
        <w:rPr>
          <w:rFonts w:ascii="Arial" w:hAnsi="Arial" w:eastAsia="Arial" w:cs="Arial"/>
        </w:rPr>
      </w:pPr>
      <w:r>
        <w:rPr>
          <w:rFonts w:eastAsia="Arial" w:cs="Arial" w:ascii="Arial" w:hAnsi="Arial"/>
        </w:rPr>
      </w:r>
      <w:r>
        <w:br w:type="page"/>
      </w:r>
    </w:p>
    <w:p>
      <w:pPr>
        <w:pStyle w:val="Normal"/>
        <w:spacing w:lineRule="auto" w:line="276"/>
        <w:jc w:val="both"/>
        <w:rPr/>
      </w:pPr>
      <w:bookmarkStart w:id="1" w:name="_fxaqh3hc2mgn"/>
      <w:bookmarkEnd w:id="1"/>
      <w:r>
        <w:rPr>
          <w:rFonts w:eastAsia="Arial" w:cs="Arial" w:ascii="Arial" w:hAnsi="Arial"/>
          <w:b/>
          <w:bCs/>
        </w:rPr>
        <w:t xml:space="preserve">Edital </w:t>
      </w:r>
      <w:r>
        <w:rPr>
          <w:rFonts w:eastAsia="Arial" w:cs="Arial" w:ascii="Arial" w:hAnsi="Arial"/>
          <w:b/>
          <w:bCs/>
          <w:shd w:fill="FFFFFF" w:val="clear"/>
        </w:rPr>
        <w:t>03/</w:t>
      </w:r>
      <w:r>
        <w:rPr>
          <w:rFonts w:eastAsia="Arial" w:cs="Arial" w:ascii="Arial" w:hAnsi="Arial"/>
          <w:b/>
          <w:bCs/>
        </w:rPr>
        <w:t>2026 - Chamada interna de seleção de estudantes bolsistas do Câmpus Florianópolis-Continente para atuar no PROJETO “ENOTURISMO COMO IMPULSO ECONÔMICO E MERCADOLÓGICO NA DENOMINAÇÃO DE ORIGEM VALES DA UVA GOETHE”, aprovado pelo EDITAL IFES Nº 12/2025 - SELEÇÃO DE PROJETOS PARA PROMOÇÃO DAS INDICAÇÕES GEOGRÁFICAS.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 xml:space="preserve">O Diretor-Geral do Campus Florianópolis-Continente, </w:t>
      </w:r>
      <w:r>
        <w:rPr>
          <w:rFonts w:eastAsia="Arial" w:cs="Arial" w:ascii="Arial" w:hAnsi="Arial"/>
          <w:color w:val="000000"/>
        </w:rPr>
        <w:t>Vinicius de Luca Filho</w:t>
      </w:r>
      <w:r>
        <w:rPr>
          <w:rFonts w:eastAsia="Arial" w:cs="Arial" w:ascii="Arial" w:hAnsi="Arial"/>
        </w:rPr>
        <w:t>, no uso de suas atribuições legais, torna público o processo para seleção de bolsistas para atuarem nas atividades do PROJETO “ENOTURISMO COMO IMPULSO ECONÔMICO E MERCADOLÓGICO NA DENOMINAÇÃO DE ORIGEM VALES DA UVA GOETHE”, aprovado pelo EDITAL IFES Nº 12/2025 - SELEÇÃO DE PROJETOS PARA PROMOÇÃO DAS INDICAÇÕES GEOGRÁFICAS.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1. DO OBJETIVO</w:t>
      </w:r>
    </w:p>
    <w:p>
      <w:pPr>
        <w:pStyle w:val="Normal"/>
        <w:spacing w:lineRule="auto" w:line="276"/>
        <w:jc w:val="both"/>
        <w:rPr>
          <w:rFonts w:ascii="Arial" w:hAnsi="Arial" w:eastAsia="Arial" w:cs="Arial"/>
        </w:rPr>
      </w:pPr>
      <w:r>
        <w:rPr>
          <w:rFonts w:eastAsia="Arial" w:cs="Arial" w:ascii="Arial" w:hAnsi="Arial"/>
        </w:rPr>
        <w:t>O objetivo do presente edital é a seleção de estudantes para bolsa e cadastro de reserva voltada à atuação como extensionista no Projeto no período de maio a dezembro de 2026.</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 xml:space="preserve">2. DAS ATIVIDADES DO PROJETO </w:t>
      </w:r>
    </w:p>
    <w:p>
      <w:pPr>
        <w:pStyle w:val="Normal"/>
        <w:spacing w:lineRule="auto" w:line="276"/>
        <w:jc w:val="both"/>
        <w:rPr>
          <w:rFonts w:ascii="Arial" w:hAnsi="Arial" w:eastAsia="Arial" w:cs="Arial"/>
        </w:rPr>
      </w:pPr>
      <w:r>
        <w:rPr>
          <w:rFonts w:eastAsia="Arial" w:cs="Arial" w:ascii="Arial" w:hAnsi="Arial"/>
        </w:rPr>
        <w:t>O Projeto é posicionado no Eixo V – Turismo vinculado a Indicações Geográficas, do EDITAL IFES Nº 12/2025, devendo desenvolver ações voltadas à valorização territorial e à promoção do turismo de experiência associado às IGs, fortalecendo os elos entre identidade cultural, produção local e atratividade turística. Devem ser considerados aspectos como infraestrutura de recepção, capacitação de atores locais, criação de roteiros turísticos temáticos e promoção da oferta turística integrada. Serão executadas as seguintes atividades, detalhadas no Anexo I:</w:t>
      </w:r>
    </w:p>
    <w:p>
      <w:pPr>
        <w:pStyle w:val="Normal"/>
        <w:spacing w:lineRule="auto" w:line="276"/>
        <w:jc w:val="both"/>
        <w:rPr>
          <w:rFonts w:ascii="Arial" w:hAnsi="Arial" w:eastAsia="Arial" w:cs="Arial"/>
        </w:rPr>
      </w:pPr>
      <w:r>
        <w:rPr>
          <w:rFonts w:eastAsia="Arial" w:cs="Arial" w:ascii="Arial" w:hAnsi="Arial"/>
        </w:rPr>
        <w:t>a)</w:t>
        <w:tab/>
        <w:t>Capacitação de atores locais para o turismo de base comunitária;</w:t>
      </w:r>
    </w:p>
    <w:p>
      <w:pPr>
        <w:pStyle w:val="Normal"/>
        <w:spacing w:lineRule="auto" w:line="276"/>
        <w:jc w:val="both"/>
        <w:rPr>
          <w:rFonts w:ascii="Arial" w:hAnsi="Arial" w:eastAsia="Arial" w:cs="Arial"/>
        </w:rPr>
      </w:pPr>
      <w:r>
        <w:rPr>
          <w:rFonts w:eastAsia="Arial" w:cs="Arial" w:ascii="Arial" w:hAnsi="Arial"/>
        </w:rPr>
        <w:t>b)</w:t>
        <w:tab/>
        <w:t>Mapeamento e estruturação de atrativos turísticos associados à IG / Proposta e implementação de roteiros turísticos temáticos baseados na IG;</w:t>
      </w:r>
    </w:p>
    <w:p>
      <w:pPr>
        <w:pStyle w:val="Normal"/>
        <w:spacing w:lineRule="auto" w:line="276"/>
        <w:jc w:val="both"/>
        <w:rPr>
          <w:rFonts w:ascii="Arial" w:hAnsi="Arial" w:eastAsia="Arial" w:cs="Arial"/>
        </w:rPr>
      </w:pPr>
      <w:r>
        <w:rPr>
          <w:rFonts w:eastAsia="Arial" w:cs="Arial" w:ascii="Arial" w:hAnsi="Arial"/>
        </w:rPr>
        <w:t>c)</w:t>
        <w:tab/>
        <w:t>Criação ou fortalecimento de rotas ou circuitos turísticos regionais, integrando a IG a outras rotas e circuitos existentes ou a serem criados, com foco na produção local;</w:t>
      </w:r>
    </w:p>
    <w:p>
      <w:pPr>
        <w:pStyle w:val="Normal"/>
        <w:spacing w:lineRule="auto" w:line="276"/>
        <w:jc w:val="both"/>
        <w:rPr>
          <w:rFonts w:ascii="Arial" w:hAnsi="Arial" w:eastAsia="Arial" w:cs="Arial"/>
        </w:rPr>
      </w:pPr>
      <w:r>
        <w:rPr>
          <w:rFonts w:eastAsia="Arial" w:cs="Arial" w:ascii="Arial" w:hAnsi="Arial"/>
        </w:rPr>
        <w:t>d)</w:t>
        <w:tab/>
        <w:t>Produção de material promocional e de projeto de sinalização turística com placas interpretativas e sinalização direcional com identidade visual da IG;</w:t>
      </w:r>
    </w:p>
    <w:p>
      <w:pPr>
        <w:pStyle w:val="Normal"/>
        <w:spacing w:lineRule="auto" w:line="276"/>
        <w:jc w:val="both"/>
        <w:rPr>
          <w:rFonts w:ascii="Arial" w:hAnsi="Arial" w:eastAsia="Arial" w:cs="Arial"/>
        </w:rPr>
      </w:pPr>
      <w:r>
        <w:rPr>
          <w:rFonts w:eastAsia="Arial" w:cs="Arial" w:ascii="Arial" w:hAnsi="Arial"/>
        </w:rPr>
        <w:t>e)</w:t>
        <w:tab/>
        <w:t>Apoio à realização de eventos e experiências turísticas já existentes, e idealização e execução de evento com foco na IG;</w:t>
      </w:r>
    </w:p>
    <w:p>
      <w:pPr>
        <w:pStyle w:val="Normal"/>
        <w:spacing w:lineRule="auto" w:line="276"/>
        <w:jc w:val="both"/>
        <w:rPr>
          <w:rFonts w:ascii="Arial" w:hAnsi="Arial" w:eastAsia="Arial" w:cs="Arial"/>
        </w:rPr>
      </w:pPr>
      <w:r>
        <w:rPr>
          <w:rFonts w:eastAsia="Arial" w:cs="Arial" w:ascii="Arial" w:hAnsi="Arial"/>
        </w:rPr>
        <w:t>f)</w:t>
        <w:tab/>
        <w:t>Articulação com políticas públicas de turismo e cultura, obtendo a inserção da IG em planos municipais, estaduais ou nacionais de turismo e patrimônio cultural / Apoio técnico na participação de editais de apoio financeiro e na prospecção e formalização de parcerias;</w:t>
      </w:r>
    </w:p>
    <w:p>
      <w:pPr>
        <w:pStyle w:val="Normal"/>
        <w:spacing w:lineRule="auto" w:line="276"/>
        <w:jc w:val="both"/>
        <w:rPr>
          <w:rFonts w:ascii="Arial" w:hAnsi="Arial" w:eastAsia="Arial" w:cs="Arial"/>
        </w:rPr>
      </w:pPr>
      <w:r>
        <w:rPr>
          <w:rFonts w:eastAsia="Arial" w:cs="Arial" w:ascii="Arial" w:hAnsi="Arial"/>
        </w:rPr>
        <w:t>g)</w:t>
        <w:tab/>
        <w:t>Diagnóstico da realidade atual da infraestrutura para recepção de visitantes e proposição de melhorias sintonizadas com as possibilidades de cada estabelecimento turístico.</w:t>
      </w:r>
    </w:p>
    <w:p>
      <w:pPr>
        <w:pStyle w:val="Normal"/>
        <w:spacing w:lineRule="auto" w:line="276"/>
        <w:jc w:val="both"/>
        <w:rPr>
          <w:rFonts w:ascii="Arial" w:hAnsi="Arial" w:eastAsia="Arial" w:cs="Arial"/>
          <w:b/>
          <w:b/>
          <w:bCs/>
        </w:rPr>
      </w:pPr>
      <w:r>
        <w:rPr>
          <w:rFonts w:eastAsia="Arial" w:cs="Arial" w:ascii="Arial" w:hAnsi="Arial"/>
          <w:b/>
          <w:bCs/>
        </w:rPr>
        <w:t>3. DO CRONOGRAMA DE SELEÇÃO</w:t>
      </w:r>
    </w:p>
    <w:p>
      <w:pPr>
        <w:pStyle w:val="Normal"/>
        <w:spacing w:lineRule="auto" w:line="276"/>
        <w:jc w:val="both"/>
        <w:rPr>
          <w:rFonts w:ascii="Arial" w:hAnsi="Arial" w:eastAsia="Arial" w:cs="Arial"/>
        </w:rPr>
      </w:pPr>
      <w:r>
        <w:rPr>
          <w:rFonts w:eastAsia="Arial" w:cs="Arial" w:ascii="Arial" w:hAnsi="Arial"/>
        </w:rPr>
      </w:r>
    </w:p>
    <w:tbl>
      <w:tblPr>
        <w:tblStyle w:val="a"/>
        <w:tblW w:w="9582"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017"/>
        <w:gridCol w:w="5564"/>
      </w:tblGrid>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b/>
                <w:b/>
                <w:bCs/>
                <w:color w:val="000000"/>
              </w:rPr>
            </w:pPr>
            <w:r>
              <w:rPr>
                <w:rFonts w:eastAsia="Arial" w:cs="Arial" w:ascii="Arial" w:hAnsi="Arial"/>
                <w:b/>
                <w:bCs/>
                <w:color w:val="000000"/>
              </w:rPr>
              <w:t>ETAPA</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b/>
                <w:b/>
                <w:bCs/>
                <w:color w:val="000000"/>
              </w:rPr>
            </w:pPr>
            <w:r>
              <w:rPr>
                <w:rFonts w:eastAsia="Arial" w:cs="Arial" w:ascii="Arial" w:hAnsi="Arial"/>
                <w:b/>
                <w:bCs/>
                <w:color w:val="000000"/>
              </w:rPr>
              <w:t>PERÍODO</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Inscrições</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23 a 29</w:t>
            </w:r>
            <w:r>
              <w:rPr>
                <w:rFonts w:eastAsia="Arial" w:cs="Arial" w:ascii="Arial" w:hAnsi="Arial"/>
                <w:color w:val="000000"/>
              </w:rPr>
              <w:t>/04/2026 até as 12 h</w:t>
            </w:r>
          </w:p>
        </w:tc>
      </w:tr>
      <w:tr>
        <w:trPr>
          <w:trHeight w:val="214" w:hRule="atLeast"/>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A</w:t>
            </w:r>
            <w:r>
              <w:rPr>
                <w:rFonts w:eastAsia="Arial" w:cs="Arial" w:ascii="Arial" w:hAnsi="Arial"/>
              </w:rPr>
              <w:t>nálise de inscrições</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29</w:t>
            </w:r>
            <w:r>
              <w:rPr>
                <w:rFonts w:eastAsia="Arial" w:cs="Arial" w:ascii="Arial" w:hAnsi="Arial"/>
                <w:color w:val="000000"/>
              </w:rPr>
              <w:t>/04/2026 após as 12 h</w:t>
            </w:r>
          </w:p>
        </w:tc>
      </w:tr>
      <w:tr>
        <w:trPr>
          <w:trHeight w:val="214" w:hRule="atLeast"/>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Entrevistas</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rPr>
            </w:pPr>
            <w:r>
              <w:rPr>
                <w:rFonts w:eastAsia="Arial" w:cs="Arial" w:ascii="Arial" w:hAnsi="Arial"/>
                <w:color w:val="000000"/>
              </w:rPr>
              <w:t>30/04/2026 a partir das 13 h</w:t>
            </w:r>
          </w:p>
        </w:tc>
      </w:tr>
      <w:tr>
        <w:trPr>
          <w:trHeight w:val="281" w:hRule="atLeast"/>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Resultado preliminar</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30/04/2026 até as 18 h</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Recursos ao resultado preliminar</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rPr>
            </w:pPr>
            <w:r>
              <w:rPr>
                <w:rFonts w:eastAsia="Arial" w:cs="Arial" w:ascii="Arial" w:hAnsi="Arial"/>
                <w:color w:val="000000"/>
              </w:rPr>
              <w:t>03/05/2026 a partir das 18 h até as 23 h 59</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rPr>
              <w:t>Resultado final</w:t>
            </w:r>
          </w:p>
        </w:tc>
        <w:tc>
          <w:tcPr>
            <w:tcW w:w="55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04/05/2026</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rPr>
            </w:pPr>
            <w:r>
              <w:rPr>
                <w:rFonts w:eastAsia="Arial" w:cs="Arial" w:ascii="Arial" w:hAnsi="Arial"/>
              </w:rPr>
              <w:t>Contato com os primeiros admitidos</w:t>
            </w:r>
          </w:p>
        </w:tc>
        <w:tc>
          <w:tcPr>
            <w:tcW w:w="5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color w:val="000000"/>
              </w:rPr>
              <w:t>04/05/2026</w:t>
            </w:r>
          </w:p>
        </w:tc>
      </w:tr>
      <w:tr>
        <w:trPr/>
        <w:tc>
          <w:tcPr>
            <w:tcW w:w="4017"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Arial" w:hAnsi="Arial" w:eastAsia="Arial" w:cs="Arial"/>
                <w:color w:val="000000"/>
              </w:rPr>
            </w:pPr>
            <w:r>
              <w:rPr>
                <w:rFonts w:eastAsia="Arial" w:cs="Arial" w:ascii="Arial" w:hAnsi="Arial"/>
                <w:color w:val="000000"/>
              </w:rPr>
              <w:t>Período de vigência das bolsas</w:t>
            </w:r>
            <w:r>
              <w:rPr>
                <w:rFonts w:eastAsia="Arial" w:cs="Arial" w:ascii="Arial" w:hAnsi="Arial"/>
              </w:rPr>
              <w:t xml:space="preserve"> e desenvolvimento das atividades</w:t>
            </w:r>
          </w:p>
        </w:tc>
        <w:tc>
          <w:tcPr>
            <w:tcW w:w="5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05/05 a 31/12/2026</w:t>
            </w:r>
          </w:p>
        </w:tc>
      </w:tr>
    </w:tbl>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4. DAS VAGAS, BOLSAS, REGIME DE TRABALHO E REQUISITOS</w:t>
      </w:r>
    </w:p>
    <w:tbl>
      <w:tblPr>
        <w:tblStyle w:val="a0"/>
        <w:tblW w:w="9633"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1128"/>
        <w:gridCol w:w="1418"/>
        <w:gridCol w:w="1277"/>
        <w:gridCol w:w="5809"/>
      </w:tblGrid>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VAGAS</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BOLSA</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REGIME</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color w:val="000000"/>
              </w:rPr>
            </w:pPr>
            <w:r>
              <w:rPr>
                <w:rFonts w:eastAsia="Arial" w:cs="Arial" w:ascii="Arial" w:hAnsi="Arial"/>
                <w:b/>
                <w:bCs/>
                <w:color w:val="000000"/>
              </w:rPr>
              <w:t>REQUISITOS</w:t>
            </w:r>
          </w:p>
        </w:tc>
      </w:tr>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1</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R$ 700,00</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20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técnico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rPr>
            </w:pPr>
            <w:r>
              <w:rPr>
                <w:rFonts w:eastAsia="Arial" w:cs="Arial" w:ascii="Arial" w:hAnsi="Arial"/>
              </w:rPr>
              <w:t>- Assinar a declaração de compromisso e ciência constante no Anexo III.</w:t>
            </w:r>
          </w:p>
        </w:tc>
      </w:tr>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2</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Voluntário</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10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técnico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rPr>
            </w:pPr>
            <w:r>
              <w:rPr>
                <w:rFonts w:eastAsia="Arial" w:cs="Arial" w:ascii="Arial" w:hAnsi="Arial"/>
              </w:rPr>
              <w:t>- Assinar a declaração de compromisso e ciência constante no Anexo III.</w:t>
            </w:r>
          </w:p>
        </w:tc>
      </w:tr>
      <w:tr>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1</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R$ 700,00</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20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superior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color w:val="000000"/>
              </w:rPr>
            </w:pPr>
            <w:r>
              <w:rPr>
                <w:rFonts w:eastAsia="Arial" w:cs="Arial" w:ascii="Arial" w:hAnsi="Arial"/>
              </w:rPr>
              <w:t>- Assinar a declaração de compromisso e ciência constante no Anexo III.</w:t>
            </w:r>
          </w:p>
        </w:tc>
      </w:tr>
      <w:tr>
        <w:trPr>
          <w:trHeight w:val="156" w:hRule="atLeast"/>
        </w:trPr>
        <w:tc>
          <w:tcPr>
            <w:tcW w:w="112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Arial" w:hAnsi="Arial" w:eastAsia="Arial" w:cs="Arial"/>
                <w:color w:val="000000"/>
              </w:rPr>
            </w:pPr>
            <w:r>
              <w:rPr>
                <w:rFonts w:eastAsia="Arial" w:cs="Arial" w:ascii="Arial" w:hAnsi="Arial"/>
                <w:color w:val="000000"/>
              </w:rPr>
              <w:t>2</w:t>
            </w:r>
          </w:p>
        </w:tc>
        <w:tc>
          <w:tcPr>
            <w:tcW w:w="1418"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Voluntário</w:t>
            </w:r>
          </w:p>
        </w:tc>
        <w:tc>
          <w:tcPr>
            <w:tcW w:w="1277" w:type="dxa"/>
            <w:tcBorders>
              <w:top w:val="single" w:sz="4" w:space="0" w:color="000000"/>
              <w:left w:val="single" w:sz="4" w:space="0" w:color="000000"/>
              <w:bottom w:val="single" w:sz="4" w:space="0" w:color="000000"/>
            </w:tcBorders>
            <w:vAlign w:val="center"/>
          </w:tcPr>
          <w:p>
            <w:pPr>
              <w:pStyle w:val="Normal"/>
              <w:widowControl w:val="false"/>
              <w:jc w:val="center"/>
              <w:rPr>
                <w:rFonts w:ascii="Arial" w:hAnsi="Arial" w:eastAsia="Arial" w:cs="Arial"/>
                <w:color w:val="000000"/>
              </w:rPr>
            </w:pPr>
            <w:r>
              <w:rPr>
                <w:rFonts w:eastAsia="Arial" w:cs="Arial" w:ascii="Arial" w:hAnsi="Arial"/>
                <w:color w:val="000000"/>
              </w:rPr>
              <w:t>10 h</w:t>
            </w:r>
          </w:p>
        </w:tc>
        <w:tc>
          <w:tcPr>
            <w:tcW w:w="5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rPr>
            </w:pPr>
            <w:r>
              <w:rPr>
                <w:rFonts w:eastAsia="Arial" w:cs="Arial" w:ascii="Arial" w:hAnsi="Arial"/>
              </w:rPr>
              <w:t>- Matrícula regular em curso superior do IFSC Campus Florianópolis – Continente no semestre 2026/1.</w:t>
            </w:r>
          </w:p>
          <w:p>
            <w:pPr>
              <w:pStyle w:val="Normal"/>
              <w:widowControl w:val="false"/>
              <w:jc w:val="center"/>
              <w:rPr>
                <w:rFonts w:ascii="Arial" w:hAnsi="Arial" w:eastAsia="Arial" w:cs="Arial"/>
              </w:rPr>
            </w:pPr>
            <w:r>
              <w:rPr>
                <w:rFonts w:eastAsia="Arial" w:cs="Arial" w:ascii="Arial" w:hAnsi="Arial"/>
              </w:rPr>
              <w:t>- Conhecimento e ciência do projeto constante no Anexo I.</w:t>
            </w:r>
          </w:p>
          <w:p>
            <w:pPr>
              <w:pStyle w:val="Normal"/>
              <w:widowControl w:val="false"/>
              <w:jc w:val="center"/>
              <w:rPr>
                <w:rFonts w:ascii="Arial" w:hAnsi="Arial" w:eastAsia="Arial" w:cs="Arial"/>
              </w:rPr>
            </w:pPr>
            <w:r>
              <w:rPr>
                <w:rFonts w:eastAsia="Arial" w:cs="Arial" w:ascii="Arial" w:hAnsi="Arial"/>
              </w:rPr>
              <w:t>- Conhecimentos específicos compatíveis com as atividades relacionadas no Item 2.</w:t>
            </w:r>
          </w:p>
          <w:p>
            <w:pPr>
              <w:pStyle w:val="Normal"/>
              <w:widowControl w:val="false"/>
              <w:jc w:val="center"/>
              <w:rPr>
                <w:rFonts w:ascii="Arial" w:hAnsi="Arial" w:eastAsia="Arial" w:cs="Arial"/>
              </w:rPr>
            </w:pPr>
            <w:r>
              <w:rPr>
                <w:rFonts w:eastAsia="Arial" w:cs="Arial" w:ascii="Arial" w:hAnsi="Arial"/>
              </w:rPr>
              <w:t>- Facilidade de leitura e escrita com vistas a desempenhar as atividades descritas no Item 2.</w:t>
            </w:r>
          </w:p>
          <w:p>
            <w:pPr>
              <w:pStyle w:val="Normal"/>
              <w:widowControl w:val="false"/>
              <w:jc w:val="center"/>
              <w:rPr>
                <w:rFonts w:ascii="Arial" w:hAnsi="Arial" w:eastAsia="Arial" w:cs="Arial"/>
              </w:rPr>
            </w:pPr>
            <w:r>
              <w:rPr>
                <w:rFonts w:eastAsia="Arial" w:cs="Arial" w:ascii="Arial" w:hAnsi="Arial"/>
              </w:rPr>
              <w:t>- Autonomia e responsabilidade perante o projeto e as atividades pertinentes.</w:t>
            </w:r>
          </w:p>
          <w:p>
            <w:pPr>
              <w:pStyle w:val="Normal"/>
              <w:widowControl w:val="false"/>
              <w:jc w:val="center"/>
              <w:rPr>
                <w:rFonts w:ascii="Arial" w:hAnsi="Arial" w:eastAsia="Arial" w:cs="Arial"/>
                <w:color w:val="000000"/>
              </w:rPr>
            </w:pPr>
            <w:r>
              <w:rPr>
                <w:rFonts w:eastAsia="Arial" w:cs="Arial" w:ascii="Arial" w:hAnsi="Arial"/>
                <w:color w:val="000000"/>
              </w:rPr>
              <w:t>-</w:t>
            </w:r>
            <w:r>
              <w:rPr>
                <w:rFonts w:eastAsia="Arial" w:cs="Arial" w:ascii="Arial" w:hAnsi="Arial"/>
              </w:rPr>
              <w:t xml:space="preserve"> </w:t>
            </w:r>
            <w:r>
              <w:rPr>
                <w:rFonts w:eastAsia="Arial" w:cs="Arial" w:ascii="Arial" w:hAnsi="Arial"/>
                <w:color w:val="000000"/>
              </w:rPr>
              <w:t>Preferencialmente ter conhecimentos em design gráfico, editoração de textos e edição de imagens e vídeos.</w:t>
            </w:r>
          </w:p>
          <w:p>
            <w:pPr>
              <w:pStyle w:val="Normal"/>
              <w:widowControl w:val="false"/>
              <w:jc w:val="center"/>
              <w:rPr>
                <w:rFonts w:ascii="Arial" w:hAnsi="Arial" w:eastAsia="Arial" w:cs="Arial"/>
              </w:rPr>
            </w:pPr>
            <w:r>
              <w:rPr>
                <w:rFonts w:eastAsia="Arial" w:cs="Arial" w:ascii="Arial" w:hAnsi="Arial"/>
              </w:rPr>
              <w:t>- Disponibilidade para desenvolver as atividades de forma presencial e/ou a distância, conforme determinado pelo Coordenador do Projeto.</w:t>
            </w:r>
          </w:p>
          <w:p>
            <w:pPr>
              <w:pStyle w:val="Normal"/>
              <w:widowControl w:val="false"/>
              <w:jc w:val="center"/>
              <w:rPr>
                <w:rFonts w:ascii="Arial" w:hAnsi="Arial" w:eastAsia="Arial" w:cs="Arial"/>
              </w:rPr>
            </w:pPr>
            <w:r>
              <w:rPr>
                <w:rFonts w:eastAsia="Arial" w:cs="Arial" w:ascii="Arial" w:hAnsi="Arial"/>
              </w:rPr>
              <w:t>- Disponibilidade para viagens (custeio incluso).</w:t>
            </w:r>
          </w:p>
          <w:p>
            <w:pPr>
              <w:pStyle w:val="Normal"/>
              <w:widowControl w:val="false"/>
              <w:jc w:val="center"/>
              <w:rPr>
                <w:rFonts w:ascii="Arial" w:hAnsi="Arial" w:eastAsia="Arial" w:cs="Arial"/>
              </w:rPr>
            </w:pPr>
            <w:r>
              <w:rPr>
                <w:rFonts w:eastAsia="Arial" w:cs="Arial" w:ascii="Arial" w:hAnsi="Arial"/>
              </w:rPr>
              <w:t>- Assinar a declaração de compromisso e ciência constante no Anexo III.</w:t>
            </w:r>
          </w:p>
        </w:tc>
      </w:tr>
    </w:tbl>
    <w:p>
      <w:pPr>
        <w:pStyle w:val="Normal"/>
        <w:spacing w:lineRule="auto" w:line="276"/>
        <w:jc w:val="both"/>
        <w:rPr>
          <w:rFonts w:ascii="Arial" w:hAnsi="Arial" w:eastAsia="Arial" w:cs="Arial"/>
          <w:b/>
          <w:b/>
          <w:bCs/>
        </w:rPr>
      </w:pPr>
      <w:r>
        <w:rPr>
          <w:rFonts w:eastAsia="Arial" w:cs="Arial" w:ascii="Arial" w:hAnsi="Arial"/>
          <w:b/>
          <w:bCs/>
        </w:rPr>
      </w:r>
    </w:p>
    <w:p>
      <w:pPr>
        <w:pStyle w:val="Normal"/>
        <w:spacing w:lineRule="auto" w:line="276"/>
        <w:jc w:val="both"/>
        <w:rPr>
          <w:rFonts w:ascii="Arial" w:hAnsi="Arial" w:eastAsia="Arial" w:cs="Arial"/>
          <w:b/>
          <w:b/>
          <w:bCs/>
        </w:rPr>
      </w:pPr>
      <w:r>
        <w:rPr>
          <w:rFonts w:eastAsia="Arial" w:cs="Arial" w:ascii="Arial" w:hAnsi="Arial"/>
          <w:b/>
          <w:bCs/>
        </w:rPr>
      </w:r>
    </w:p>
    <w:p>
      <w:pPr>
        <w:pStyle w:val="Normal"/>
        <w:spacing w:lineRule="auto" w:line="276"/>
        <w:jc w:val="both"/>
        <w:rPr>
          <w:rFonts w:ascii="Arial" w:hAnsi="Arial" w:eastAsia="Arial" w:cs="Arial"/>
          <w:b/>
          <w:b/>
          <w:bCs/>
        </w:rPr>
      </w:pPr>
      <w:r>
        <w:rPr>
          <w:rFonts w:eastAsia="Arial" w:cs="Arial" w:ascii="Arial" w:hAnsi="Arial"/>
          <w:b/>
          <w:bCs/>
        </w:rPr>
        <w:t>5. DAS INSCRIÇÕES</w:t>
      </w:r>
    </w:p>
    <w:p>
      <w:pPr>
        <w:pStyle w:val="Normal"/>
        <w:spacing w:lineRule="auto" w:line="276"/>
        <w:jc w:val="both"/>
        <w:rPr>
          <w:rFonts w:ascii="Arial" w:hAnsi="Arial" w:eastAsia="Arial" w:cs="Arial"/>
        </w:rPr>
      </w:pPr>
      <w:r>
        <w:rPr>
          <w:rFonts w:eastAsia="Arial" w:cs="Arial" w:ascii="Arial" w:hAnsi="Arial"/>
        </w:rPr>
        <w:t xml:space="preserve">5.1. As inscrições ocorrerão conforme o cronograma de seleção, exclusivamente através do e-mail </w:t>
      </w:r>
      <w:hyperlink r:id="rId2">
        <w:r>
          <w:rPr>
            <w:rFonts w:eastAsia="Arial" w:cs="Arial" w:ascii="Arial" w:hAnsi="Arial"/>
            <w:color w:val="0000FF"/>
            <w:u w:val="single"/>
          </w:rPr>
          <w:t>jucelio.medeiros@ifsc.edu.br</w:t>
        </w:r>
      </w:hyperlink>
      <w:r>
        <w:rPr>
          <w:rFonts w:eastAsia="Arial" w:cs="Arial" w:ascii="Arial" w:hAnsi="Arial"/>
        </w:rPr>
        <w:t>, cujo assunto deve ser “Candidatura Seleção Bolsas – Edital 16/2025”, enviando os documentos que habilitem e/ou ilustrem e/ou comprovem suas principais habilidades/requisitos para a bolsa pretendida, quais sejam:</w:t>
      </w:r>
    </w:p>
    <w:p>
      <w:pPr>
        <w:pStyle w:val="Normal"/>
        <w:spacing w:lineRule="auto" w:line="276"/>
        <w:jc w:val="both"/>
        <w:rPr>
          <w:rFonts w:ascii="Arial" w:hAnsi="Arial" w:eastAsia="Arial" w:cs="Arial"/>
        </w:rPr>
      </w:pPr>
      <w:r>
        <w:rPr>
          <w:rFonts w:eastAsia="Arial" w:cs="Arial" w:ascii="Arial" w:hAnsi="Arial"/>
        </w:rPr>
        <w:t>- Ficha de inscrição preenchida e em PDF, assinada digitalmente ou digitalizada com assinatura manuscrita, e anexada de documento oficial de identificação, conforme Anexo 1 (arquivo editável disponível junto ao Edital);</w:t>
      </w:r>
    </w:p>
    <w:p>
      <w:pPr>
        <w:pStyle w:val="Normal"/>
        <w:spacing w:lineRule="auto" w:line="276"/>
        <w:jc w:val="both"/>
        <w:rPr>
          <w:rFonts w:ascii="Arial" w:hAnsi="Arial" w:eastAsia="Arial" w:cs="Arial"/>
        </w:rPr>
      </w:pPr>
      <w:r>
        <w:rPr>
          <w:rFonts w:eastAsia="Arial" w:cs="Arial" w:ascii="Arial" w:hAnsi="Arial"/>
        </w:rPr>
        <w:t>- Declaração de compromisso e ciência (Anexo III, arquivo editável disponível junto ao Edital), onde os candidatos deverão declarar ter lido e entendido o projeto (Anexo II); terem iniciativa, capacidade e proatividade para colocarem as atividades planejadas no projeto em prática, sem necessidade de ordem da Coordenação, sob orientação e supervisão da mesma, a qual devem se reportar e tirar dúvidas; estarem cientes de que, mensalmente, a não entrega dos materiais previstos ou a realização em desacordo com as orientações e correções da Coordenação ensejará em insuficiência de desempenho e em substituição do bolsista; terem disponibilidade para trabalhar as 20 h semanais de modo presencial na instituição; executar todas as atividades em tempo real em drive apropriado indicado pela Coordenação;</w:t>
      </w:r>
    </w:p>
    <w:p>
      <w:pPr>
        <w:pStyle w:val="Normal"/>
        <w:spacing w:lineRule="auto" w:line="276"/>
        <w:jc w:val="both"/>
        <w:rPr>
          <w:rFonts w:ascii="Arial" w:hAnsi="Arial" w:eastAsia="Arial" w:cs="Arial"/>
        </w:rPr>
      </w:pPr>
      <w:r>
        <w:rPr>
          <w:rFonts w:eastAsia="Arial" w:cs="Arial" w:ascii="Arial" w:hAnsi="Arial"/>
        </w:rPr>
        <w:t>- Cópia em PDF do Histórico Escolar do curso em andamento no IFSC Campus Florianópolis - Continente, atualizado a partir da data de lançamento desta chamada;</w:t>
      </w:r>
    </w:p>
    <w:p>
      <w:pPr>
        <w:pStyle w:val="Normal"/>
        <w:spacing w:lineRule="auto" w:line="276"/>
        <w:jc w:val="both"/>
        <w:rPr>
          <w:rFonts w:ascii="Arial" w:hAnsi="Arial" w:eastAsia="Arial" w:cs="Arial"/>
        </w:rPr>
      </w:pPr>
      <w:r>
        <w:rPr>
          <w:rFonts w:eastAsia="Arial" w:cs="Arial" w:ascii="Arial" w:hAnsi="Arial"/>
        </w:rPr>
        <w:t>- Comprovação de experiência (se houver) nas habilidades/requisitos listados no item 4.4, tais como: participação em outros projetos de pesquisa, ou ensino, ou extensão; experiência profissional na área de inscrição (certificados, diplomas, etc).</w:t>
      </w:r>
    </w:p>
    <w:p>
      <w:pPr>
        <w:pStyle w:val="Normal"/>
        <w:spacing w:lineRule="auto" w:line="276"/>
        <w:jc w:val="both"/>
        <w:rPr>
          <w:rFonts w:ascii="Arial" w:hAnsi="Arial" w:eastAsia="Arial" w:cs="Arial"/>
        </w:rPr>
      </w:pPr>
      <w:r>
        <w:rPr>
          <w:rFonts w:eastAsia="Arial" w:cs="Arial" w:ascii="Arial" w:hAnsi="Arial"/>
        </w:rPr>
        <w:t>5.2. O IFSC não se responsabiliza por possíveis problemas técnicos que impeçam ou retardem o envio do formulário por parte das pessoas candidatas, sendo exclusivamente de responsabilidade de quem se inscreve fazer cumprir os prazos estabelecidos e usar os meios adequados de inscrição.</w:t>
      </w:r>
    </w:p>
    <w:p>
      <w:pPr>
        <w:pStyle w:val="Normal"/>
        <w:spacing w:lineRule="auto" w:line="276"/>
        <w:jc w:val="both"/>
        <w:rPr>
          <w:rFonts w:ascii="Arial" w:hAnsi="Arial" w:eastAsia="Arial" w:cs="Arial"/>
        </w:rPr>
      </w:pPr>
      <w:r>
        <w:rPr>
          <w:rFonts w:eastAsia="Arial" w:cs="Arial" w:ascii="Arial" w:hAnsi="Arial"/>
        </w:rPr>
        <w:t>5.3. A inscrição de qualquer pessoa implicará no conhecimento das instruções contidas neste Edital e sua expressa concordância com estes termos.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6. DA SELEÇÃO</w:t>
      </w:r>
    </w:p>
    <w:p>
      <w:pPr>
        <w:pStyle w:val="Normal"/>
        <w:spacing w:lineRule="auto" w:line="276"/>
        <w:jc w:val="both"/>
        <w:rPr>
          <w:rFonts w:ascii="Arial" w:hAnsi="Arial" w:eastAsia="Arial" w:cs="Arial"/>
        </w:rPr>
      </w:pPr>
      <w:r>
        <w:rPr>
          <w:rFonts w:eastAsia="Arial" w:cs="Arial" w:ascii="Arial" w:hAnsi="Arial"/>
        </w:rPr>
        <w:t>6.1. Os critérios de seleção se basearão na análise do Histórico Escolar, das comprovações dos requisitos listados para a bolsa de pesquisa e de uma entrevista, cujas pontuações máximas são:</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tbl>
      <w:tblPr>
        <w:tblStyle w:val="a1"/>
        <w:tblW w:w="9634" w:type="dxa"/>
        <w:jc w:val="center"/>
        <w:tblInd w:w="0" w:type="dxa"/>
        <w:tblLayout w:type="fixed"/>
        <w:tblCellMar>
          <w:top w:w="0" w:type="dxa"/>
          <w:left w:w="108" w:type="dxa"/>
          <w:bottom w:w="0" w:type="dxa"/>
          <w:right w:w="108" w:type="dxa"/>
        </w:tblCellMar>
        <w:tblLook w:val="0400" w:noHBand="0" w:noVBand="1" w:firstColumn="0" w:lastRow="0" w:lastColumn="0" w:firstRow="0"/>
      </w:tblPr>
      <w:tblGrid>
        <w:gridCol w:w="710"/>
        <w:gridCol w:w="7476"/>
        <w:gridCol w:w="1448"/>
      </w:tblGrid>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rPr>
            </w:pPr>
            <w:r>
              <w:rPr>
                <w:rFonts w:eastAsia="Arial" w:cs="Arial" w:ascii="Arial" w:hAnsi="Arial"/>
                <w:b/>
                <w:bCs/>
              </w:rPr>
              <w:t>Item</w:t>
            </w:r>
          </w:p>
        </w:tc>
        <w:tc>
          <w:tcPr>
            <w:tcW w:w="7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rPr>
            </w:pPr>
            <w:r>
              <w:rPr>
                <w:rFonts w:eastAsia="Arial" w:cs="Arial" w:ascii="Arial" w:hAnsi="Arial"/>
                <w:b/>
                <w:bCs/>
              </w:rPr>
              <w:t>Critério</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eastAsia="Arial" w:cs="Arial"/>
                <w:b/>
                <w:b/>
                <w:bCs/>
              </w:rPr>
            </w:pPr>
            <w:r>
              <w:rPr>
                <w:rFonts w:eastAsia="Arial" w:cs="Arial" w:ascii="Arial" w:hAnsi="Arial"/>
                <w:b/>
                <w:bCs/>
              </w:rPr>
              <w:t>Pontuação máxima</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A</w:t>
            </w:r>
          </w:p>
        </w:tc>
        <w:tc>
          <w:tcPr>
            <w:tcW w:w="7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Análise do Histórico Escolar (pontuação do sistema IFSC – CAA)</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10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B</w:t>
            </w:r>
          </w:p>
        </w:tc>
        <w:tc>
          <w:tcPr>
            <w:tcW w:w="7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Análise das comprovações dos requisitos desejados para Área</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30</w:t>
            </w:r>
          </w:p>
        </w:tc>
      </w:tr>
      <w:tr>
        <w:trPr>
          <w:trHeight w:val="223" w:hRule="atLeast"/>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w:t>
            </w:r>
          </w:p>
        </w:tc>
        <w:tc>
          <w:tcPr>
            <w:tcW w:w="892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Entrevista com a banca da área correlata</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C1</w:t>
            </w:r>
          </w:p>
        </w:tc>
        <w:tc>
          <w:tcPr>
            <w:tcW w:w="7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Facilidade de leitura e escrita com vistas a desempenhar as atividades descritas no item 2; autonomia e responsabilidade perante o projeto e as atividades pertinentes; capacidade de comunicação e relacionamento interpessoal (respeito; desenvoltura; trabalho em equipe; colaboração; motivação)</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20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C2</w:t>
            </w:r>
          </w:p>
        </w:tc>
        <w:tc>
          <w:tcPr>
            <w:tcW w:w="7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Disponibilidade de horários</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10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C3</w:t>
            </w:r>
          </w:p>
        </w:tc>
        <w:tc>
          <w:tcPr>
            <w:tcW w:w="7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Afinidade do curso em andamento com as atividades descritas no item 4</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10</w:t>
            </w:r>
          </w:p>
        </w:tc>
      </w:tr>
      <w:tr>
        <w:trPr/>
        <w:tc>
          <w:tcPr>
            <w:tcW w:w="7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C4</w:t>
            </w:r>
          </w:p>
        </w:tc>
        <w:tc>
          <w:tcPr>
            <w:tcW w:w="74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rPr>
            </w:pPr>
            <w:r>
              <w:rPr>
                <w:rFonts w:eastAsia="Arial" w:cs="Arial" w:ascii="Arial" w:hAnsi="Arial"/>
              </w:rPr>
              <w:t>Experiências ou habilidades com as atividades descritas no item 4, conforme a área de inscrição</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jc w:val="center"/>
              <w:rPr>
                <w:rFonts w:ascii="Arial" w:hAnsi="Arial" w:eastAsia="Arial" w:cs="Arial"/>
              </w:rPr>
            </w:pPr>
            <w:r>
              <w:rPr>
                <w:rFonts w:eastAsia="Arial" w:cs="Arial" w:ascii="Arial" w:hAnsi="Arial"/>
              </w:rPr>
              <w:t>20</w:t>
            </w:r>
          </w:p>
        </w:tc>
      </w:tr>
      <w:tr>
        <w:trPr/>
        <w:tc>
          <w:tcPr>
            <w:tcW w:w="818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right"/>
              <w:rPr>
                <w:rFonts w:ascii="Arial" w:hAnsi="Arial" w:eastAsia="Arial" w:cs="Arial"/>
                <w:b/>
                <w:b/>
                <w:bCs/>
              </w:rPr>
            </w:pPr>
            <w:r>
              <w:rPr>
                <w:rFonts w:eastAsia="Arial" w:cs="Arial" w:ascii="Arial" w:hAnsi="Arial"/>
                <w:b/>
                <w:bCs/>
              </w:rPr>
              <w:t>Total</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rFonts w:ascii="Arial" w:hAnsi="Arial" w:eastAsia="Arial" w:cs="Arial"/>
                <w:b/>
                <w:b/>
                <w:bCs/>
              </w:rPr>
            </w:pPr>
            <w:r>
              <w:rPr>
                <w:rFonts w:eastAsia="Arial" w:cs="Arial" w:ascii="Arial" w:hAnsi="Arial"/>
                <w:b/>
                <w:bCs/>
              </w:rPr>
              <w:t>100</w:t>
            </w:r>
          </w:p>
        </w:tc>
      </w:tr>
    </w:tbl>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O item A corresponde à análise do histórico escolar é dada pelo cálculo do índice de rendimento acadêmico CAA. Ao candidato que tiver o maior CAA será atribuído o valor máximo do critério (10). Os demais candidatos receberão um valor proporcional ao candidato com maior CAA. Os valores finais são arredondados, com duas casas decimais, conforme ABNT.</w:t>
      </w:r>
    </w:p>
    <w:p>
      <w:pPr>
        <w:pStyle w:val="Normal"/>
        <w:spacing w:lineRule="auto" w:line="276"/>
        <w:jc w:val="both"/>
        <w:rPr>
          <w:rFonts w:ascii="Arial" w:hAnsi="Arial" w:eastAsia="Arial" w:cs="Arial"/>
        </w:rPr>
      </w:pPr>
      <w:r>
        <w:rPr>
          <w:rFonts w:eastAsia="Arial" w:cs="Arial" w:ascii="Arial" w:hAnsi="Arial"/>
        </w:rPr>
        <w:t>O item B corresponde à análise das comprovações (experiência profissional) quanto aos requisitos desejados. As comprovações serão valoradas como: nada aderente (0 a 10 pontos), pouco aderente (11 a 15 pontos), aderente (16 a 25 pontos) e candidato com experiência plena no tema do projeto (25 a 30 pontos).</w:t>
      </w:r>
    </w:p>
    <w:p>
      <w:pPr>
        <w:pStyle w:val="Normal"/>
        <w:spacing w:lineRule="auto" w:line="276"/>
        <w:jc w:val="both"/>
        <w:rPr>
          <w:rFonts w:ascii="Arial" w:hAnsi="Arial" w:eastAsia="Arial" w:cs="Arial"/>
        </w:rPr>
      </w:pPr>
      <w:r>
        <w:rPr>
          <w:rFonts w:eastAsia="Arial" w:cs="Arial" w:ascii="Arial" w:hAnsi="Arial"/>
        </w:rPr>
        <w:t>O item C (entrevista) será valorado conforme os critérios disponíveis nos subitens C1, C2, C3 e C4.</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 xml:space="preserve">6.2. As entrevistas ocorrerão no dia </w:t>
      </w:r>
      <w:r>
        <w:rPr>
          <w:rFonts w:eastAsia="Arial" w:cs="Arial" w:ascii="Arial" w:hAnsi="Arial"/>
          <w:color w:val="FF0000"/>
        </w:rPr>
        <w:t>30/04/2026</w:t>
      </w:r>
      <w:r>
        <w:rPr>
          <w:rFonts w:eastAsia="Arial" w:cs="Arial" w:ascii="Arial" w:hAnsi="Arial"/>
        </w:rPr>
        <w:t xml:space="preserve"> </w:t>
      </w:r>
      <w:r>
        <w:rPr>
          <w:rFonts w:eastAsia="Arial" w:cs="Arial" w:ascii="Arial" w:hAnsi="Arial"/>
          <w:strike/>
        </w:rPr>
        <w:t>28/04/2026</w:t>
      </w:r>
      <w:r>
        <w:rPr>
          <w:rFonts w:eastAsia="Arial" w:cs="Arial" w:ascii="Arial" w:hAnsi="Arial"/>
        </w:rPr>
        <w:t>, a partir das 13 h, por ordem de chegada no Laboratório de Bebidas do Câmpus Florianópolis - Continente, constando de uma etapa prévia de esclarecimentos gerais e, na sequência, das entrevistas individuais. A previsão de término é às 16 h, a depender do número de candidatos, e eventualmente, este horário pode ser estendido até que se esgotem as entrevistas, dentro do horário de funcionamento do Câmpus.</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6.3. Eventuais empates na classificação serão desempatados segundo a seguinte ordem:</w:t>
      </w:r>
    </w:p>
    <w:p>
      <w:pPr>
        <w:pStyle w:val="Normal"/>
        <w:spacing w:lineRule="auto" w:line="276"/>
        <w:jc w:val="both"/>
        <w:rPr>
          <w:rFonts w:ascii="Arial" w:hAnsi="Arial" w:eastAsia="Arial" w:cs="Arial"/>
        </w:rPr>
      </w:pPr>
      <w:r>
        <w:rPr>
          <w:rFonts w:eastAsia="Arial" w:cs="Arial" w:ascii="Arial" w:hAnsi="Arial"/>
        </w:rPr>
        <w:t>- maior nota na entrevista;</w:t>
      </w:r>
    </w:p>
    <w:p>
      <w:pPr>
        <w:pStyle w:val="Normal"/>
        <w:spacing w:lineRule="auto" w:line="276"/>
        <w:jc w:val="both"/>
        <w:rPr>
          <w:rFonts w:ascii="Arial" w:hAnsi="Arial" w:eastAsia="Arial" w:cs="Arial"/>
        </w:rPr>
      </w:pPr>
      <w:r>
        <w:rPr>
          <w:rFonts w:eastAsia="Arial" w:cs="Arial" w:ascii="Arial" w:hAnsi="Arial"/>
        </w:rPr>
        <w:t>- maior nota na comprovação de requisitos;</w:t>
      </w:r>
    </w:p>
    <w:p>
      <w:pPr>
        <w:pStyle w:val="Normal"/>
        <w:spacing w:lineRule="auto" w:line="276"/>
        <w:jc w:val="both"/>
        <w:rPr>
          <w:rFonts w:ascii="Arial" w:hAnsi="Arial" w:eastAsia="Arial" w:cs="Arial"/>
        </w:rPr>
      </w:pPr>
      <w:r>
        <w:rPr>
          <w:rFonts w:eastAsia="Arial" w:cs="Arial" w:ascii="Arial" w:hAnsi="Arial"/>
        </w:rPr>
        <w:t>- maior índice de rendimento acadêmico;</w:t>
      </w:r>
    </w:p>
    <w:p>
      <w:pPr>
        <w:pStyle w:val="Normal"/>
        <w:spacing w:lineRule="auto" w:line="276"/>
        <w:jc w:val="both"/>
        <w:rPr>
          <w:rFonts w:ascii="Arial" w:hAnsi="Arial" w:eastAsia="Arial" w:cs="Arial"/>
        </w:rPr>
      </w:pPr>
      <w:r>
        <w:rPr>
          <w:rFonts w:eastAsia="Arial" w:cs="Arial" w:ascii="Arial" w:hAnsi="Arial"/>
        </w:rPr>
        <w:t>- maior idade.</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6.4. Serão feitas duas listas de classificação, correspondentes aos diferentes níveis de ensino. Para efeito de seleção das pessoas bolsistas subsidiadas financeiramente, serão tomadas as ordens de classificação nos níveis técnico e superior, respectivamente, conforme se der o aceite da vaga, e as demais serão selecionadas como voluntárias na ordem de classificação em seus respectivos níveis.</w:t>
      </w:r>
    </w:p>
    <w:p>
      <w:pPr>
        <w:pStyle w:val="Normal"/>
        <w:spacing w:lineRule="auto" w:line="276"/>
        <w:jc w:val="both"/>
        <w:rPr>
          <w:rFonts w:ascii="Arial" w:hAnsi="Arial" w:eastAsia="Arial" w:cs="Arial"/>
        </w:rPr>
      </w:pPr>
      <w:r>
        <w:rPr>
          <w:rFonts w:eastAsia="Arial" w:cs="Arial" w:ascii="Arial" w:hAnsi="Arial"/>
        </w:rPr>
        <w:t>6.5. Todas as pessoas classificadas farão parte do cadastro reserva, sendo que as desistências a uma primeira convocação posicionam as candidaturas ao fim da lista de classificação, na sequência em que foram classificadas originalmente.</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7. DOS RESULTADOS E RECURSOS</w:t>
      </w:r>
    </w:p>
    <w:p>
      <w:pPr>
        <w:pStyle w:val="Normal"/>
        <w:spacing w:lineRule="auto" w:line="276"/>
        <w:jc w:val="both"/>
        <w:rPr>
          <w:rFonts w:ascii="Arial" w:hAnsi="Arial" w:eastAsia="Arial" w:cs="Arial"/>
        </w:rPr>
      </w:pPr>
      <w:r>
        <w:rPr>
          <w:rFonts w:eastAsia="Arial" w:cs="Arial" w:ascii="Arial" w:hAnsi="Arial"/>
        </w:rPr>
        <w:t>7.1 O resultado parcial será enviado para os e-mails de todos os candidatos inscritos no processo e será publicado no site do IFSC Campus Florianópolis - Continente. O resultado final será publicado no site do IFSC Campus Florianópolis - Continente com as orientações a serem seguidas, bem como enviado aos e-mails das pessoas candidatas.</w:t>
      </w:r>
    </w:p>
    <w:p>
      <w:pPr>
        <w:pStyle w:val="Normal"/>
        <w:spacing w:lineRule="auto" w:line="276"/>
        <w:jc w:val="both"/>
        <w:rPr>
          <w:rFonts w:ascii="Arial" w:hAnsi="Arial" w:eastAsia="Arial" w:cs="Arial"/>
        </w:rPr>
      </w:pPr>
      <w:r>
        <w:rPr>
          <w:rFonts w:eastAsia="Arial" w:cs="Arial" w:ascii="Arial" w:hAnsi="Arial"/>
        </w:rPr>
        <w:t xml:space="preserve">7.2 Os recursos a esta Chamada devem ser encaminhados para o e-mail </w:t>
      </w:r>
      <w:hyperlink r:id="rId3">
        <w:r>
          <w:rPr>
            <w:rFonts w:eastAsia="Arial" w:cs="Arial" w:ascii="Arial" w:hAnsi="Arial"/>
            <w:color w:val="0000FF"/>
            <w:u w:val="single"/>
          </w:rPr>
          <w:t>jucelio.medeiros@ifsc.edu.br</w:t>
        </w:r>
      </w:hyperlink>
      <w:r>
        <w:rPr>
          <w:rFonts w:eastAsia="Arial" w:cs="Arial" w:ascii="Arial" w:hAnsi="Arial"/>
        </w:rPr>
        <w:t xml:space="preserve">, de acordo com o cronograma desta Chamada, em pdf, conforme o Anexo IV (arquivo editável disponível junto ao Edital), cujo assunto deve ser “Recurso Seleção Bolsas – </w:t>
      </w:r>
      <w:r>
        <w:rPr>
          <w:rFonts w:eastAsia="Arial" w:cs="Arial" w:ascii="Arial" w:hAnsi="Arial"/>
          <w:shd w:fill="FFFFFF" w:val="clear"/>
        </w:rPr>
        <w:t>Edital 03/2026</w:t>
      </w:r>
      <w:r>
        <w:rPr>
          <w:rFonts w:eastAsia="Arial" w:cs="Arial" w:ascii="Arial" w:hAnsi="Arial"/>
        </w:rPr>
        <w:t>”, devendo ser remetidos do mesmo e-mail utilizado na inscrição.</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8. DA ADMISSÃO E MANUTENÇÃO DOS CLASSIFICADOS</w:t>
      </w:r>
    </w:p>
    <w:p>
      <w:pPr>
        <w:pStyle w:val="Normal"/>
        <w:spacing w:lineRule="auto" w:line="276"/>
        <w:jc w:val="both"/>
        <w:rPr>
          <w:rFonts w:ascii="Arial" w:hAnsi="Arial" w:eastAsia="Arial" w:cs="Arial"/>
        </w:rPr>
      </w:pPr>
      <w:r>
        <w:rPr>
          <w:rFonts w:eastAsia="Arial" w:cs="Arial" w:ascii="Arial" w:hAnsi="Arial"/>
        </w:rPr>
        <w:t>8.1 As pessoas classificadas serão contatadas por aplicativo de mensagens ou chamada telefônica, conforme cronograma, devendo manifestar imediatamente o interesse pela vaga, cujo aceite será formalizado por e-mail enviado pela Coordenação do Projeto na sequência. Possíveis substituições ao longo do projeto seguirão o mesmo rito toda vez que necessário e nas datas em que ocorrerem desistências da equipe, no entanto, será dado prazo de 48 h para a manifestação de interesse por via de mensagem ou chamada telefônica, formalizada na sequência por e-mail.</w:t>
      </w:r>
    </w:p>
    <w:p>
      <w:pPr>
        <w:pStyle w:val="Normal"/>
        <w:spacing w:lineRule="auto" w:line="276"/>
        <w:jc w:val="both"/>
        <w:rPr>
          <w:rFonts w:ascii="Arial" w:hAnsi="Arial" w:eastAsia="Arial" w:cs="Arial"/>
        </w:rPr>
      </w:pPr>
      <w:r>
        <w:rPr>
          <w:rFonts w:eastAsia="Arial" w:cs="Arial" w:ascii="Arial" w:hAnsi="Arial"/>
        </w:rPr>
        <w:t>8.2. O bolsista poderá ser desligado do projeto a qualquer tempo, por decisão própria, ou por decisão do coordenador do projeto. Quando o desligamento corresponder à bolsa com auxílio financeiro, serão chamados a assumir a percepção financeira primeiro as pessoas bolsistas voluntárias que já atuem no projeto, na ordem de classificação, após, as demais voluntárias, e após, os demais candidatos na ordem de classificação, enquanto que para a ocupação de vagas voluntárias, será obedecida a ordem de classificação no edital, nos respectivos níveis de ensino. Voluntários já atuantes no projeto permanecem na lista de cadastro de reserva da bolsa, segundo os critérios elencados acima.</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b/>
          <w:b/>
          <w:bCs/>
        </w:rPr>
      </w:pPr>
      <w:r>
        <w:rPr>
          <w:rFonts w:eastAsia="Arial" w:cs="Arial" w:ascii="Arial" w:hAnsi="Arial"/>
          <w:b/>
          <w:bCs/>
        </w:rPr>
        <w:t>9. DAS DISPOSIÇÕES FINAIS</w:t>
      </w:r>
    </w:p>
    <w:p>
      <w:pPr>
        <w:pStyle w:val="Normal"/>
        <w:spacing w:lineRule="auto" w:line="276"/>
        <w:jc w:val="both"/>
        <w:rPr>
          <w:rFonts w:ascii="Arial" w:hAnsi="Arial" w:eastAsia="Arial" w:cs="Arial"/>
        </w:rPr>
      </w:pPr>
      <w:r>
        <w:rPr>
          <w:rFonts w:eastAsia="Arial" w:cs="Arial" w:ascii="Arial" w:hAnsi="Arial"/>
        </w:rPr>
        <w:t>9.1. O presente processo seletivo se destina ao preenchimento das vagas existentes e das vagas que ocorrerem durante a validade do edital.</w:t>
      </w:r>
    </w:p>
    <w:p>
      <w:pPr>
        <w:pStyle w:val="Normal"/>
        <w:spacing w:lineRule="auto" w:line="276"/>
        <w:jc w:val="both"/>
        <w:rPr>
          <w:rFonts w:ascii="Arial" w:hAnsi="Arial" w:eastAsia="Arial" w:cs="Arial"/>
        </w:rPr>
      </w:pPr>
      <w:r>
        <w:rPr>
          <w:rFonts w:eastAsia="Arial" w:cs="Arial" w:ascii="Arial" w:hAnsi="Arial"/>
        </w:rPr>
        <w:t>9.2. O presente edital terá validade de 8 (oito) meses, a contar da publicação do resultado final.</w:t>
      </w:r>
    </w:p>
    <w:p>
      <w:pPr>
        <w:pStyle w:val="Normal"/>
        <w:spacing w:lineRule="auto" w:line="276"/>
        <w:jc w:val="both"/>
        <w:rPr>
          <w:rFonts w:ascii="Arial" w:hAnsi="Arial" w:eastAsia="Arial" w:cs="Arial"/>
        </w:rPr>
      </w:pPr>
      <w:r>
        <w:rPr>
          <w:rFonts w:eastAsia="Arial" w:cs="Arial" w:ascii="Arial" w:hAnsi="Arial"/>
        </w:rPr>
        <w:t>9.3. As bolsas não constituem vínculo trabalhista ou de regime jurídico do serviço público, portanto não se aplicam benefícios como férias, gratificação natalina, dispensa por motivos de doença, licenças diversas ou caso fortuito e/ou de força maior.</w:t>
      </w:r>
    </w:p>
    <w:p>
      <w:pPr>
        <w:pStyle w:val="Normal"/>
        <w:spacing w:lineRule="auto" w:line="276"/>
        <w:jc w:val="both"/>
        <w:rPr>
          <w:rFonts w:ascii="Arial" w:hAnsi="Arial" w:eastAsia="Arial" w:cs="Arial"/>
        </w:rPr>
      </w:pPr>
      <w:r>
        <w:rPr>
          <w:rFonts w:eastAsia="Arial" w:cs="Arial" w:ascii="Arial" w:hAnsi="Arial"/>
        </w:rPr>
        <w:t>9.4. Para fins de atendimento à LGPD, as cópias dos documentos dos candidatos não selecionados para contratação nesta seleção serão destruídas/exclusas após o término do processo seletivo.</w:t>
      </w:r>
    </w:p>
    <w:p>
      <w:pPr>
        <w:pStyle w:val="Normal"/>
        <w:spacing w:lineRule="auto" w:line="276"/>
        <w:jc w:val="both"/>
        <w:rPr>
          <w:rFonts w:ascii="Arial" w:hAnsi="Arial" w:eastAsia="Arial" w:cs="Arial"/>
        </w:rPr>
      </w:pPr>
      <w:r>
        <w:rPr>
          <w:rFonts w:eastAsia="Arial" w:cs="Arial" w:ascii="Arial" w:hAnsi="Arial"/>
        </w:rPr>
        <w:t>9.5. Os casos omissos serão resolvidos pela Coordenadoria do Projeto.</w:t>
      </w:r>
    </w:p>
    <w:p>
      <w:pPr>
        <w:pStyle w:val="Normal"/>
        <w:spacing w:lineRule="auto" w:line="276"/>
        <w:jc w:val="both"/>
        <w:rPr>
          <w:rFonts w:ascii="Arial" w:hAnsi="Arial" w:eastAsia="Arial" w:cs="Arial"/>
        </w:rPr>
      </w:pPr>
      <w:r>
        <w:rPr>
          <w:rFonts w:eastAsia="Arial" w:cs="Arial" w:ascii="Arial" w:hAnsi="Arial"/>
        </w:rPr>
        <w:t>9.6. Esta Chamada entrará em vigor na data da sua publicação.</w:t>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ab/>
        <w:tab/>
        <w:tab/>
        <w:tab/>
        <w:tab/>
        <w:tab/>
        <w:tab/>
        <w:t>Florianópolis, 23 de abril de 2026</w:t>
      </w:r>
    </w:p>
    <w:p>
      <w:pPr>
        <w:pStyle w:val="Normal"/>
        <w:spacing w:lineRule="auto" w:line="276"/>
        <w:jc w:val="center"/>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before="0" w:after="140"/>
        <w:jc w:val="center"/>
        <w:rPr>
          <w:rFonts w:ascii="Arial" w:hAnsi="Arial" w:eastAsia="Arial" w:cs="Arial"/>
          <w:b/>
          <w:b/>
          <w:bCs/>
          <w:color w:val="000000"/>
        </w:rPr>
      </w:pPr>
      <w:bookmarkStart w:id="2" w:name="noy76sy5bi52"/>
      <w:bookmarkEnd w:id="2"/>
      <w:r>
        <w:rPr>
          <w:rFonts w:eastAsia="Arial" w:cs="Arial" w:ascii="Arial" w:hAnsi="Arial"/>
          <w:b/>
          <w:bCs/>
          <w:color w:val="000000"/>
        </w:rPr>
        <w:t>Vinicius de Luca Filho</w:t>
      </w:r>
    </w:p>
    <w:p>
      <w:pPr>
        <w:pStyle w:val="Normal"/>
        <w:jc w:val="center"/>
        <w:rPr>
          <w:rFonts w:ascii="Arial" w:hAnsi="Arial" w:eastAsia="Arial" w:cs="Arial"/>
          <w:color w:val="000000"/>
        </w:rPr>
      </w:pPr>
      <w:r>
        <w:rPr>
          <w:rFonts w:eastAsia="Arial" w:cs="Arial" w:ascii="Arial" w:hAnsi="Arial"/>
          <w:color w:val="000000"/>
        </w:rPr>
        <w:t xml:space="preserve">Diretor-Geral </w:t>
      </w:r>
    </w:p>
    <w:p>
      <w:pPr>
        <w:pStyle w:val="Normal"/>
        <w:spacing w:lineRule="auto" w:line="288"/>
        <w:jc w:val="center"/>
        <w:rPr>
          <w:rFonts w:ascii="Arial" w:hAnsi="Arial" w:eastAsia="Arial" w:cs="Arial"/>
          <w:color w:val="000000"/>
        </w:rPr>
      </w:pPr>
      <w:r>
        <w:rPr>
          <w:rFonts w:eastAsia="Arial" w:cs="Arial" w:ascii="Arial" w:hAnsi="Arial"/>
          <w:color w:val="000000"/>
        </w:rPr>
        <w:t>Câmpus Florianópolis-Continente do IFSC</w:t>
      </w:r>
    </w:p>
    <w:p>
      <w:pPr>
        <w:pStyle w:val="Normal"/>
        <w:spacing w:lineRule="auto" w:line="288"/>
        <w:jc w:val="center"/>
        <w:rPr>
          <w:highlight w:val="none"/>
          <w:shd w:fill="FFFFFF" w:val="clear"/>
        </w:rPr>
      </w:pPr>
      <w:r>
        <w:rPr>
          <w:rFonts w:eastAsia="Arial" w:cs="Arial" w:ascii="Arial" w:hAnsi="Arial"/>
          <w:color w:val="000000"/>
          <w:shd w:fill="FFFFFF" w:val="clear"/>
        </w:rPr>
        <w:t>Portaria do Reitor N° 2999, de 14 de agosto de 2025</w:t>
      </w:r>
    </w:p>
    <w:p>
      <w:pPr>
        <w:pStyle w:val="Normal"/>
        <w:spacing w:lineRule="auto" w:line="276" w:before="0" w:after="140"/>
        <w:rPr>
          <w:rFonts w:ascii="Arial" w:hAnsi="Arial" w:eastAsia="Arial" w:cs="Arial"/>
          <w:color w:val="000000"/>
        </w:rPr>
      </w:pPr>
      <w:r>
        <w:rPr>
          <w:color w:val="000000"/>
        </w:rPr>
        <w:br/>
      </w:r>
    </w:p>
    <w:p>
      <w:pPr>
        <w:pStyle w:val="Normal"/>
        <w:rPr>
          <w:rFonts w:ascii="Arial" w:hAnsi="Arial" w:eastAsia="Arial" w:cs="Arial"/>
          <w:color w:val="000000"/>
        </w:rPr>
      </w:pPr>
      <w:r>
        <w:rPr>
          <w:rFonts w:eastAsia="Arial" w:cs="Arial" w:ascii="Arial" w:hAnsi="Arial"/>
          <w:color w:val="000000"/>
        </w:rPr>
      </w:r>
      <w:r>
        <w:br w:type="page"/>
      </w:r>
    </w:p>
    <w:p>
      <w:pPr>
        <w:pStyle w:val="Normal"/>
        <w:jc w:val="center"/>
        <w:rPr>
          <w:rFonts w:ascii="Arial" w:hAnsi="Arial" w:eastAsia="Arial" w:cs="Arial"/>
          <w:b/>
          <w:b/>
          <w:bCs/>
        </w:rPr>
      </w:pPr>
      <w:r>
        <w:rPr>
          <w:rFonts w:eastAsia="Arial" w:cs="Arial" w:ascii="Arial" w:hAnsi="Arial"/>
          <w:b/>
          <w:bCs/>
        </w:rPr>
        <w:t>ANEXO I</w:t>
      </w:r>
    </w:p>
    <w:p>
      <w:pPr>
        <w:pStyle w:val="Normal"/>
        <w:jc w:val="center"/>
        <w:rPr>
          <w:rFonts w:ascii="Arial" w:hAnsi="Arial" w:eastAsia="Arial" w:cs="Arial"/>
          <w:b/>
          <w:b/>
          <w:bCs/>
        </w:rPr>
      </w:pPr>
      <w:r>
        <w:rPr>
          <w:rFonts w:eastAsia="Arial" w:cs="Arial" w:ascii="Arial" w:hAnsi="Arial"/>
          <w:b/>
          <w:bCs/>
        </w:rPr>
      </w:r>
    </w:p>
    <w:p>
      <w:pPr>
        <w:pStyle w:val="Normal"/>
        <w:jc w:val="center"/>
        <w:rPr>
          <w:rFonts w:ascii="Arial" w:hAnsi="Arial" w:eastAsia="Arial" w:cs="Arial"/>
          <w:b/>
          <w:b/>
          <w:bCs/>
        </w:rPr>
      </w:pPr>
      <w:r>
        <w:rPr>
          <w:rFonts w:eastAsia="Arial" w:cs="Arial" w:ascii="Arial" w:hAnsi="Arial"/>
          <w:b/>
          <w:bCs/>
        </w:rPr>
        <w:t>PROJETO</w:t>
      </w:r>
    </w:p>
    <w:p>
      <w:pPr>
        <w:pStyle w:val="Normal"/>
        <w:spacing w:lineRule="exact" w:line="240"/>
        <w:jc w:val="center"/>
        <w:rPr>
          <w:rFonts w:ascii="Times New Roman" w:hAnsi="Times New Roman" w:cs="Times New Roman"/>
          <w:b/>
          <w:b/>
          <w:color w:val="000000"/>
        </w:rPr>
      </w:pPr>
      <w:r>
        <w:rPr>
          <w:rFonts w:cs="Times New Roman" w:ascii="Times New Roman" w:hAnsi="Times New Roman"/>
          <w:b/>
          <w:color w:val="000000"/>
        </w:rPr>
        <w:t>ENOTURISMO COMO IMPULSO ECONÔMICO E MERCADOLÓGICO NA DENOMINAÇÃO DE ORIGEM VALES DA UVA GOETHE</w:t>
      </w:r>
    </w:p>
    <w:p>
      <w:pPr>
        <w:pStyle w:val="Normal"/>
        <w:spacing w:lineRule="exact" w:line="240"/>
        <w:jc w:val="center"/>
        <w:rPr>
          <w:rFonts w:ascii="Times New Roman" w:hAnsi="Times New Roman" w:cs="Times New Roman"/>
          <w:b/>
          <w:b/>
        </w:rPr>
      </w:pPr>
      <w:r>
        <w:rPr>
          <w:rFonts w:cs="Times New Roman" w:ascii="Times New Roman" w:hAnsi="Times New Roman"/>
          <w:b/>
        </w:rPr>
      </w:r>
    </w:p>
    <w:p>
      <w:pPr>
        <w:pStyle w:val="Normal"/>
        <w:spacing w:lineRule="exact" w:line="240"/>
        <w:jc w:val="both"/>
        <w:rPr>
          <w:rFonts w:ascii="Times New Roman" w:hAnsi="Times New Roman" w:cs="Times New Roman"/>
          <w:b/>
          <w:b/>
        </w:rPr>
      </w:pPr>
      <w:r>
        <w:rPr>
          <w:rFonts w:cs="Times New Roman" w:ascii="Times New Roman" w:hAnsi="Times New Roman"/>
          <w:b/>
        </w:rPr>
        <w:t>1. INTRODUÇÃO</w:t>
      </w:r>
    </w:p>
    <w:p>
      <w:pPr>
        <w:pStyle w:val="Normal"/>
        <w:spacing w:lineRule="exact" w:line="240"/>
        <w:jc w:val="both"/>
        <w:rPr>
          <w:rFonts w:ascii="Times New Roman" w:hAnsi="Times New Roman" w:cs="Times New Roman"/>
          <w:b/>
          <w:b/>
        </w:rPr>
      </w:pPr>
      <w:r>
        <w:rPr>
          <w:rFonts w:cs="Times New Roman" w:ascii="Times New Roman" w:hAnsi="Times New Roman"/>
          <w:b/>
        </w:rPr>
        <w:t>1.1 Contextualização histórica</w:t>
      </w:r>
    </w:p>
    <w:p>
      <w:pPr>
        <w:pStyle w:val="Normal"/>
        <w:ind w:firstLine="720"/>
        <w:jc w:val="both"/>
        <w:rPr>
          <w:rFonts w:ascii="Times New Roman" w:hAnsi="Times New Roman" w:cs="Times New Roman"/>
          <w:bCs/>
        </w:rPr>
      </w:pPr>
      <w:r>
        <w:rPr>
          <w:rFonts w:cs="Times New Roman" w:ascii="Times New Roman" w:hAnsi="Times New Roman"/>
          <w:bCs/>
        </w:rPr>
        <w:t xml:space="preserve">A cidade de Urussanga é a principal componente da região intitulada Vales da Uva Goethe, junto com Pedras Grandes, Morro da Fumaça, Içara e Nova Veneza </w:t>
      </w:r>
      <w:r>
        <w:rPr>
          <w:rFonts w:cs="Times New Roman" w:ascii="Times New Roman" w:hAnsi="Times New Roman"/>
          <w:bCs/>
          <w:color w:val="000000"/>
        </w:rPr>
        <w:t xml:space="preserve">(Santa Catarina, 2015). </w:t>
      </w:r>
      <w:r>
        <w:rPr>
          <w:rFonts w:cs="Times New Roman" w:ascii="Times New Roman" w:hAnsi="Times New Roman"/>
          <w:bCs/>
        </w:rPr>
        <w:t xml:space="preserve">Região de colonização de imigrantes italianos vindos no fim do século XIX, “Urussanga foi fundada em 1878 por imigrantes italianos oriundos em sua grande maioria da região de Trento, norte da Itália, a qual havia muita relação com a vinha e a produção de vinhos” </w:t>
      </w:r>
      <w:r>
        <w:rPr>
          <w:rFonts w:cs="Times New Roman" w:ascii="Times New Roman" w:hAnsi="Times New Roman"/>
          <w:bCs/>
          <w:color w:val="000000"/>
        </w:rPr>
        <w:t xml:space="preserve">(Mariot, 2003 </w:t>
      </w:r>
      <w:r>
        <w:rPr>
          <w:rFonts w:cs="Times New Roman" w:ascii="Times New Roman" w:hAnsi="Times New Roman"/>
          <w:bCs/>
          <w:i/>
          <w:iCs/>
          <w:color w:val="000000"/>
        </w:rPr>
        <w:t>apud</w:t>
      </w:r>
      <w:r>
        <w:rPr>
          <w:rFonts w:cs="Times New Roman" w:ascii="Times New Roman" w:hAnsi="Times New Roman"/>
          <w:bCs/>
          <w:color w:val="000000"/>
        </w:rPr>
        <w:t xml:space="preserve"> Larroyd, 2008)</w:t>
      </w:r>
      <w:r>
        <w:rPr>
          <w:rFonts w:cs="Times New Roman" w:ascii="Times New Roman" w:hAnsi="Times New Roman"/>
          <w:bCs/>
        </w:rPr>
        <w:t xml:space="preserve">. Detentora do título de “Capital Catarinense do Bom Vinho” </w:t>
      </w:r>
      <w:r>
        <w:rPr>
          <w:rFonts w:cs="Times New Roman" w:ascii="Times New Roman" w:hAnsi="Times New Roman"/>
          <w:bCs/>
          <w:color w:val="000000"/>
        </w:rPr>
        <w:t xml:space="preserve">(Santa Catarina, 2015), </w:t>
      </w:r>
      <w:r>
        <w:rPr>
          <w:rFonts w:cs="Times New Roman" w:ascii="Times New Roman" w:hAnsi="Times New Roman"/>
          <w:bCs/>
        </w:rPr>
        <w:t xml:space="preserve">conserva diversas tradições italianas trazidas com os colonos pioneiros, entre as quais a vitivinicultura, cuja história se confunde com a da cidade </w:t>
      </w:r>
      <w:r>
        <w:rPr>
          <w:rFonts w:cs="Times New Roman" w:ascii="Times New Roman" w:hAnsi="Times New Roman"/>
          <w:color w:val="000000"/>
        </w:rPr>
        <w:t xml:space="preserve">(Rebollar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bCs/>
        </w:rPr>
        <w:t xml:space="preserve">A manutenção da vitivinicultura, contudo, não ocorreu de forma fácil e contínua. Inicialmente, foi observado que o notório clima úmido era entrave para o cultivo de variedades finas, que padeciam de doenças fúngicas, ligadas aos fatores edafoclimáticos da região, diferentes da Itália </w:t>
      </w:r>
      <w:r>
        <w:rPr>
          <w:rFonts w:cs="Times New Roman" w:ascii="Times New Roman" w:hAnsi="Times New Roman"/>
          <w:bCs/>
          <w:color w:val="000000"/>
        </w:rPr>
        <w:t>(Larroyd, 2008)</w:t>
      </w:r>
      <w:r>
        <w:rPr>
          <w:rFonts w:cs="Times New Roman" w:ascii="Times New Roman" w:hAnsi="Times New Roman"/>
          <w:bCs/>
        </w:rPr>
        <w:t xml:space="preserve">. Os colonos perceberam que as variedades </w:t>
      </w:r>
      <w:r>
        <w:rPr>
          <w:rFonts w:cs="Times New Roman" w:ascii="Times New Roman" w:hAnsi="Times New Roman"/>
          <w:bCs/>
          <w:i/>
          <w:iCs/>
        </w:rPr>
        <w:t>Vitis vinifera</w:t>
      </w:r>
      <w:r>
        <w:rPr>
          <w:rFonts w:cs="Times New Roman" w:ascii="Times New Roman" w:hAnsi="Times New Roman"/>
          <w:bCs/>
        </w:rPr>
        <w:t xml:space="preserve"> trazidas da Itália não se adaptavam, solucionando o problema com variedades de origem americana (</w:t>
      </w:r>
      <w:r>
        <w:rPr>
          <w:rFonts w:cs="Times New Roman" w:ascii="Times New Roman" w:hAnsi="Times New Roman"/>
          <w:bCs/>
          <w:i/>
          <w:iCs/>
        </w:rPr>
        <w:t>Vitis labrusca</w:t>
      </w:r>
      <w:r>
        <w:rPr>
          <w:rFonts w:cs="Times New Roman" w:ascii="Times New Roman" w:hAnsi="Times New Roman"/>
          <w:bCs/>
        </w:rPr>
        <w:t xml:space="preserve">) e seus híbridos, mais rústicos </w:t>
      </w:r>
      <w:r>
        <w:rPr>
          <w:rFonts w:cs="Times New Roman" w:ascii="Times New Roman" w:hAnsi="Times New Roman"/>
          <w:bCs/>
          <w:color w:val="000000"/>
        </w:rPr>
        <w:t xml:space="preserve">(Mariot, 2003 </w:t>
      </w:r>
      <w:r>
        <w:rPr>
          <w:rFonts w:cs="Times New Roman" w:ascii="Times New Roman" w:hAnsi="Times New Roman"/>
          <w:bCs/>
          <w:i/>
          <w:iCs/>
          <w:color w:val="000000"/>
        </w:rPr>
        <w:t>apud</w:t>
      </w:r>
      <w:r>
        <w:rPr>
          <w:rFonts w:cs="Times New Roman" w:ascii="Times New Roman" w:hAnsi="Times New Roman"/>
          <w:bCs/>
          <w:color w:val="000000"/>
        </w:rPr>
        <w:t xml:space="preserve"> Larroyd, 2008)</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bCs/>
          <w:color w:val="000000"/>
        </w:rPr>
        <w:t xml:space="preserve">Segundo Rebollar </w:t>
      </w:r>
      <w:r>
        <w:rPr>
          <w:rFonts w:cs="Times New Roman" w:ascii="Times New Roman" w:hAnsi="Times New Roman"/>
          <w:bCs/>
          <w:i/>
          <w:iCs/>
          <w:color w:val="000000"/>
        </w:rPr>
        <w:t>et al</w:t>
      </w:r>
      <w:r>
        <w:rPr>
          <w:rFonts w:cs="Times New Roman" w:ascii="Times New Roman" w:hAnsi="Times New Roman"/>
          <w:bCs/>
          <w:color w:val="000000"/>
        </w:rPr>
        <w:t>. (2007), o</w:t>
      </w:r>
      <w:r>
        <w:rPr>
          <w:rFonts w:cs="Times New Roman" w:ascii="Times New Roman" w:hAnsi="Times New Roman"/>
          <w:bCs/>
        </w:rPr>
        <w:t xml:space="preserve"> regente do consulado italiano, Giuseppe Caruso Mac Donald, estabelecido em Urussanga com a missão de supervisionar a instalação dos colonos conterrâneos, teve participação notória no desenvolvimento da vitivinicultura local. Os autores relatam que Mac Donald realizou diversas tentativas de introdução de variedades híbridas, obtidas em São Paulo por intermédio de outro italiano, Benedito Marengo, encarregado de um viveiro particular. Os autores ainda afirmam que, das variedades introduzidas, uma logo chamou atenção, seja pela rusticidade, seja pela qualidade do vinho elaborado: ‘Goethe’.</w:t>
      </w:r>
    </w:p>
    <w:p>
      <w:pPr>
        <w:pStyle w:val="Normal"/>
        <w:ind w:firstLine="720"/>
        <w:jc w:val="both"/>
        <w:rPr>
          <w:rFonts w:ascii="Times New Roman" w:hAnsi="Times New Roman" w:cs="Times New Roman"/>
          <w:bCs/>
        </w:rPr>
      </w:pPr>
      <w:r>
        <w:rPr>
          <w:rFonts w:cs="Times New Roman" w:ascii="Times New Roman" w:hAnsi="Times New Roman"/>
          <w:bCs/>
        </w:rPr>
        <w:t xml:space="preserve">A uva ‘Goethe’, além de ter apresentado boa adaptação às condições da região, originava vinhos com características peculiares diferenciadas dos demais lá produzidos, o que lhe rendia fama e fazia história </w:t>
      </w:r>
      <w:r>
        <w:rPr>
          <w:rFonts w:cs="Times New Roman" w:ascii="Times New Roman" w:hAnsi="Times New Roman"/>
          <w:color w:val="000000"/>
        </w:rPr>
        <w:t>(Associação dos Produtores da Uva e do Vinho Goethe,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xml:space="preserve">. Segundo </w:t>
      </w:r>
      <w:r>
        <w:rPr>
          <w:rFonts w:cs="Times New Roman" w:ascii="Times New Roman" w:hAnsi="Times New Roman"/>
          <w:bCs/>
          <w:color w:val="000000"/>
        </w:rPr>
        <w:t xml:space="preserve">Larroyd (2008), </w:t>
      </w:r>
      <w:r>
        <w:rPr>
          <w:rFonts w:cs="Times New Roman" w:ascii="Times New Roman" w:hAnsi="Times New Roman"/>
          <w:bCs/>
        </w:rPr>
        <w:t xml:space="preserve">“[...] a uva Goethe merece destaque, pois se adaptou tão bem à região que expressou características únicas não encontradas em nenhuma outra parte do planeta, proporcionando, desta forma, um vinho de ótima qualidade e frutos deliciosos”. Ainda, segundo </w:t>
      </w:r>
      <w:r>
        <w:rPr>
          <w:rFonts w:cs="Times New Roman" w:ascii="Times New Roman" w:hAnsi="Times New Roman"/>
          <w:bCs/>
          <w:color w:val="000000"/>
        </w:rPr>
        <w:t>Camargo, Tonietto e Hoffmann (2011, p. 148)</w:t>
      </w:r>
      <w:r>
        <w:rPr>
          <w:rFonts w:cs="Times New Roman" w:ascii="Times New Roman" w:hAnsi="Times New Roman"/>
          <w:bCs/>
        </w:rPr>
        <w:t xml:space="preserve"> “a vitivinicultura da região carbonífera de Santa Catarina, cujo polo de referência é Urussanga, consolidou-se com base na uva Goethe, uma híbrida interespecífica com a qual é elaborado um vinho branco de mesa, típico da região”.</w:t>
      </w:r>
    </w:p>
    <w:p>
      <w:pPr>
        <w:pStyle w:val="Normal"/>
        <w:ind w:firstLine="720"/>
        <w:jc w:val="both"/>
        <w:rPr>
          <w:rFonts w:ascii="Times New Roman" w:hAnsi="Times New Roman" w:cs="Times New Roman"/>
          <w:bCs/>
        </w:rPr>
      </w:pPr>
      <w:r>
        <w:rPr>
          <w:rFonts w:cs="Times New Roman" w:ascii="Times New Roman" w:hAnsi="Times New Roman"/>
          <w:bCs/>
        </w:rPr>
        <w:t xml:space="preserve">O interesse pelos vinhos de Urussanga cresceu, rendendo os títulos de “Capital do Vinho” na década de 1950, e, logo após, “Terra do Bom Vinho e da Cultura Italiana” </w:t>
      </w:r>
      <w:r>
        <w:rPr>
          <w:rFonts w:cs="Times New Roman" w:ascii="Times New Roman" w:hAnsi="Times New Roman"/>
          <w:color w:val="000000"/>
        </w:rPr>
        <w:t xml:space="preserve">(Rebollar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 xml:space="preserve">. Porém a riqueza em carvão fez com que a economia logo migrasse para a exploração de minas </w:t>
      </w:r>
      <w:r>
        <w:rPr>
          <w:rFonts w:cs="Times New Roman" w:ascii="Times New Roman" w:hAnsi="Times New Roman"/>
          <w:color w:val="000000"/>
        </w:rPr>
        <w:t xml:space="preserve">(Freitas, 2012; 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 xml:space="preserve">. Houve então a queda de produção acentuada dos vinhos de Urussanga, com fechamento de diversas vinícolas e com a atividade vitivinícola se resumindo a pequenos produtores para consumo praticamente local. Nas décadas de 1970 e 1980, voltou a ganhar força por iniciativa de empreendedores locais </w:t>
      </w:r>
      <w:r>
        <w:rPr>
          <w:rFonts w:cs="Times New Roman" w:ascii="Times New Roman" w:hAnsi="Times New Roman"/>
          <w:bCs/>
          <w:color w:val="000000"/>
        </w:rPr>
        <w:t>(Freitas, 2012, p. 21)</w:t>
      </w:r>
      <w:r>
        <w:rPr>
          <w:rFonts w:cs="Times New Roman" w:ascii="Times New Roman" w:hAnsi="Times New Roman"/>
          <w:bCs/>
        </w:rPr>
        <w:t xml:space="preserve">. O resgate das tradições históricas, a exclusividade da exploração de uva Goethe e a presença de vales demarcados pelo rio Urussanga e seus afluentes trouxeram elementos suficientes para que fosse pleiteada a Indicação Geográfica (IG) do local </w:t>
      </w:r>
      <w:r>
        <w:rPr>
          <w:rFonts w:cs="Times New Roman" w:ascii="Times New Roman" w:hAnsi="Times New Roman"/>
          <w:color w:val="000000"/>
        </w:rPr>
        <w:t xml:space="preserve">(Rebollar </w:t>
      </w:r>
      <w:r>
        <w:rPr>
          <w:rFonts w:cs="Times New Roman" w:ascii="Times New Roman" w:hAnsi="Times New Roman"/>
          <w:i/>
          <w:iCs/>
          <w:color w:val="000000"/>
        </w:rPr>
        <w:t>et al.</w:t>
      </w:r>
      <w:r>
        <w:rPr>
          <w:rFonts w:cs="Times New Roman" w:ascii="Times New Roman" w:hAnsi="Times New Roman"/>
          <w:color w:val="000000"/>
        </w:rPr>
        <w:t>, 2007)</w:t>
      </w:r>
      <w:r>
        <w:rPr>
          <w:rFonts w:cs="Times New Roman" w:ascii="Times New Roman" w:hAnsi="Times New Roman"/>
          <w:bCs/>
        </w:rPr>
        <w:t>.</w:t>
      </w:r>
    </w:p>
    <w:p>
      <w:pPr>
        <w:pStyle w:val="Normal"/>
        <w:jc w:val="both"/>
        <w:rPr>
          <w:rFonts w:ascii="Times New Roman" w:hAnsi="Times New Roman" w:cs="Times New Roman"/>
          <w:b/>
          <w:b/>
        </w:rPr>
      </w:pPr>
      <w:r>
        <w:rPr>
          <w:rFonts w:cs="Times New Roman" w:ascii="Times New Roman" w:hAnsi="Times New Roman"/>
          <w:b/>
        </w:rPr>
        <w:t>1.2 Identificação da equipe</w:t>
      </w:r>
    </w:p>
    <w:p>
      <w:pPr>
        <w:pStyle w:val="Normal"/>
        <w:ind w:firstLine="720"/>
        <w:jc w:val="both"/>
        <w:rPr>
          <w:rFonts w:ascii="Times New Roman" w:hAnsi="Times New Roman" w:cs="Times New Roman"/>
          <w:bCs/>
        </w:rPr>
      </w:pPr>
      <w:r>
        <w:rPr>
          <w:rFonts w:cs="Times New Roman" w:ascii="Times New Roman" w:hAnsi="Times New Roman"/>
          <w:bCs/>
        </w:rPr>
        <w:t>Os integrantes da equipe executora do presente projeto encontram-se relacionados no Quadro 1. O grupo é formado por pessoas docentes e técnico-administrativas com sólida formação acadêmica e em áreas correlatas ao projeto.</w:t>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Quadro 1 - Identificação da equipe</w:t>
      </w:r>
    </w:p>
    <w:tbl>
      <w:tblPr>
        <w:tblStyle w:val="Tabelacomgrade"/>
        <w:tblW w:w="9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124"/>
        <w:gridCol w:w="1560"/>
        <w:gridCol w:w="1561"/>
        <w:gridCol w:w="1842"/>
        <w:gridCol w:w="1978"/>
      </w:tblGrid>
      <w:tr>
        <w:trPr/>
        <w:tc>
          <w:tcPr>
            <w:tcW w:w="2124"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Nome do participante</w:t>
            </w:r>
          </w:p>
        </w:tc>
        <w:tc>
          <w:tcPr>
            <w:tcW w:w="1560"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i/>
                <w:kern w:val="0"/>
                <w:sz w:val="20"/>
                <w:szCs w:val="20"/>
                <w:lang w:val="pt-BR" w:eastAsia="pt-BR" w:bidi="ar-SA"/>
              </w:rPr>
              <w:t xml:space="preserve">Campus </w:t>
            </w:r>
          </w:p>
        </w:tc>
        <w:tc>
          <w:tcPr>
            <w:tcW w:w="1561"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Tipo de vínculo</w:t>
            </w:r>
          </w:p>
        </w:tc>
        <w:tc>
          <w:tcPr>
            <w:tcW w:w="1842"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Função na equipe</w:t>
            </w:r>
          </w:p>
        </w:tc>
        <w:tc>
          <w:tcPr>
            <w:tcW w:w="1978"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i/>
                <w:kern w:val="0"/>
                <w:sz w:val="20"/>
                <w:szCs w:val="20"/>
                <w:lang w:val="pt-BR" w:eastAsia="pt-BR" w:bidi="ar-SA"/>
              </w:rPr>
              <w:t xml:space="preserve">Link </w:t>
            </w:r>
            <w:r>
              <w:rPr>
                <w:rFonts w:eastAsia="Times New Roman" w:cs="Times New Roman" w:ascii="Times New Roman" w:hAnsi="Times New Roman"/>
                <w:b/>
                <w:kern w:val="0"/>
                <w:sz w:val="20"/>
                <w:szCs w:val="20"/>
                <w:lang w:val="pt-BR" w:eastAsia="pt-BR" w:bidi="ar-SA"/>
              </w:rPr>
              <w:t>do currículo Lattes</w:t>
            </w:r>
          </w:p>
        </w:tc>
      </w:tr>
      <w:tr>
        <w:trPr/>
        <w:tc>
          <w:tcPr>
            <w:tcW w:w="2124"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Jucelio Kulmann de Medeiros</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Servidor público federal</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Coordenador</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http://lattes.cnpq.br/5510493598241288</w:t>
            </w:r>
          </w:p>
        </w:tc>
      </w:tr>
      <w:tr>
        <w:trPr/>
        <w:tc>
          <w:tcPr>
            <w:tcW w:w="2124"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Andréa Vargas dos Santos</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Externa</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Colaborador Externo</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http://lattes.cnpq.br/2302334518790825</w:t>
            </w:r>
          </w:p>
        </w:tc>
      </w:tr>
      <w:tr>
        <w:trPr/>
        <w:tc>
          <w:tcPr>
            <w:tcW w:w="2124"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Conforme seleção</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nível técnico</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Extensionista</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r>
      <w:tr>
        <w:trPr/>
        <w:tc>
          <w:tcPr>
            <w:tcW w:w="2124"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Conforme seleção</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nível superior</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Extensionista</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r>
      <w:tr>
        <w:trPr/>
        <w:tc>
          <w:tcPr>
            <w:tcW w:w="2124"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Fabiana Calçada De Lamare Leite</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Florianópolis - Continente</w:t>
            </w:r>
          </w:p>
        </w:tc>
        <w:tc>
          <w:tcPr>
            <w:tcW w:w="1561"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Servidora pública federal</w:t>
            </w:r>
          </w:p>
        </w:tc>
        <w:tc>
          <w:tcPr>
            <w:tcW w:w="184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Voluntária</w:t>
            </w:r>
          </w:p>
        </w:tc>
        <w:tc>
          <w:tcPr>
            <w:tcW w:w="19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http://lattes.cnpq.br/8124487431483803</w:t>
            </w:r>
          </w:p>
        </w:tc>
      </w:tr>
    </w:tbl>
    <w:p>
      <w:pPr>
        <w:pStyle w:val="Normal"/>
        <w:jc w:val="both"/>
        <w:rPr>
          <w:rFonts w:ascii="Times New Roman" w:hAnsi="Times New Roman" w:cs="Times New Roman"/>
          <w:b/>
          <w:b/>
          <w:sz w:val="20"/>
          <w:szCs w:val="20"/>
        </w:rPr>
      </w:pPr>
      <w:r>
        <w:rPr>
          <w:rFonts w:cs="Times New Roman" w:ascii="Times New Roman" w:hAnsi="Times New Roman"/>
          <w:b/>
          <w:sz w:val="20"/>
          <w:szCs w:val="20"/>
        </w:rPr>
      </w:r>
    </w:p>
    <w:p>
      <w:pPr>
        <w:pStyle w:val="Normal"/>
        <w:spacing w:before="126" w:after="0"/>
        <w:ind w:left="131" w:right="62" w:firstLine="589"/>
        <w:jc w:val="both"/>
        <w:rPr>
          <w:rFonts w:ascii="Times New Roman" w:hAnsi="Times New Roman" w:cs="Times New Roman"/>
          <w:bCs/>
        </w:rPr>
      </w:pPr>
      <w:r>
        <w:rPr>
          <w:rFonts w:cs="Times New Roman" w:ascii="Times New Roman" w:hAnsi="Times New Roman"/>
          <w:bCs/>
        </w:rPr>
        <w:t>O Coordenador é Mestre em Ciência e Tecnologia de Alimentos e Licenciado em Viticultura e Enologia, tendo boa experiência e relacionamentos na área de Vitivinicultura. É docente de Serviço do Vinho e Bebidas desde 2011 no Instituto Federal de Educação, Ciência e Tecnologia de Santa Catarina (IFSC), atuando no Eixo Tecnológico de Hospitalidade e Lazer. É o atual Coordenador do Curso Técnico em Restaurante e Bar. Foi membro de diversas comissões e grupos de trabalho institucionais, adquirindo bom trânsito na elaboração e gestão de projetos. Foi coordenador e executor de diversas ações de extensão. É membro da Comissão Técnica Brasileira da Vinha e do Vinho (CTBVV), colegiado técnico-científico que faz a organização e o acompanhamento da participação brasileira junto à Organização Internacional da Vinha e do Vinho (OIV) e o subsídio dos processos de revisão e formulação de atos normativos relacionados aos produtos vitivinícolas.</w:t>
      </w:r>
    </w:p>
    <w:p>
      <w:pPr>
        <w:pStyle w:val="Normal"/>
        <w:spacing w:before="126" w:after="0"/>
        <w:ind w:left="131" w:right="62" w:firstLine="589"/>
        <w:jc w:val="both"/>
        <w:rPr>
          <w:rFonts w:ascii="Times New Roman" w:hAnsi="Times New Roman" w:cs="Times New Roman"/>
          <w:bCs/>
        </w:rPr>
      </w:pPr>
      <w:r>
        <w:rPr>
          <w:rFonts w:cs="Times New Roman" w:ascii="Times New Roman" w:hAnsi="Times New Roman"/>
          <w:bCs/>
        </w:rPr>
        <w:t>A Colaboradora Externa é bióloga de formação. Atual secretária executiva da ProGoethe, foi a consultora responsável pela elaboração técnica do processo de reconhecimento da Denominação de Origem Vales da Uva Goethe, sendo a responsável pelo processo de controle da Indicação Geográfica do Conselho Regulador da mesma. É vice-secretária do Fórum Catarinense de Indicações Geográficas e Marcas Coletivas.</w:t>
      </w:r>
    </w:p>
    <w:p>
      <w:pPr>
        <w:pStyle w:val="Normal"/>
        <w:spacing w:before="126" w:after="0"/>
        <w:ind w:left="131" w:right="62" w:firstLine="589"/>
        <w:jc w:val="both"/>
        <w:rPr>
          <w:rFonts w:ascii="Times New Roman" w:hAnsi="Times New Roman" w:cs="Times New Roman"/>
          <w:bCs/>
        </w:rPr>
      </w:pPr>
      <w:bookmarkStart w:id="3" w:name="_Hlk204771728"/>
      <w:bookmarkEnd w:id="3"/>
      <w:r>
        <w:rPr>
          <w:rFonts w:cs="Times New Roman" w:ascii="Times New Roman" w:hAnsi="Times New Roman"/>
          <w:bCs/>
        </w:rPr>
        <w:t>Os Estudantes de nível técnico e de superior serão selecionados dentre turmas dos cursos regulares do Campus Florianópolis - Continente.</w:t>
      </w:r>
    </w:p>
    <w:p>
      <w:pPr>
        <w:pStyle w:val="Normal"/>
        <w:spacing w:before="126" w:after="0"/>
        <w:ind w:left="131" w:right="62" w:firstLine="589"/>
        <w:jc w:val="both"/>
        <w:rPr>
          <w:rFonts w:ascii="Times New Roman" w:hAnsi="Times New Roman" w:cs="Times New Roman"/>
          <w:bCs/>
        </w:rPr>
      </w:pPr>
      <w:bookmarkStart w:id="4" w:name="_Hlk204771719"/>
      <w:bookmarkStart w:id="5" w:name="_Hlk204771728_Copia_1"/>
      <w:bookmarkEnd w:id="5"/>
      <w:r>
        <w:rPr>
          <w:rFonts w:cs="Times New Roman" w:ascii="Times New Roman" w:hAnsi="Times New Roman"/>
          <w:bCs/>
        </w:rPr>
        <w:t>A voluntária Fabiana Calçada De Lamare Leite é licenciada em Geografia, mestre em Turismo e Hotelaria e Doutora em Geografia. Professora no IFSC, Campus Florianópolis - Continente, do Curso Superior de Tecnologia em Gestão de Turismo e do curso Técnico em Guia de Turismo Regional Santa Catarina / Nacional / América do Sul. Atualmente é coordenadora do CST em Gestão de Turismo.</w:t>
      </w:r>
      <w:bookmarkEnd w:id="4"/>
    </w:p>
    <w:p>
      <w:pPr>
        <w:pStyle w:val="Normal"/>
        <w:spacing w:before="126" w:after="0"/>
        <w:ind w:right="62" w:hanging="0"/>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2. JUSTIFICATIVA</w:t>
      </w:r>
    </w:p>
    <w:p>
      <w:pPr>
        <w:pStyle w:val="Normal"/>
        <w:jc w:val="both"/>
        <w:rPr>
          <w:rFonts w:ascii="Times New Roman" w:hAnsi="Times New Roman" w:cs="Times New Roman"/>
          <w:bCs/>
        </w:rPr>
      </w:pPr>
      <w:r>
        <w:rPr>
          <w:rFonts w:cs="Times New Roman" w:ascii="Times New Roman" w:hAnsi="Times New Roman"/>
          <w:bCs/>
        </w:rPr>
        <w:tab/>
        <w:t xml:space="preserve">A região dos Vales da Uva Goethe possui inegável patrimônio histórico e cultural, sedimentado pela Denominação de Origem (DO) homônima, constituindo-se em riquíssimo acervo de atrações com demanda de visitação. O turismo já acontece na região, porém ainda é incipiente frente ao potencial que roteiros e rotas turísticos estruturada poderia gerar. Para tanto, além da criação, estruturação, execução e consultoria de roteiro em si e dos desdobramentos em rotas turísticas específicas ou integradas, é necessária a capacitação dos atores locais, sensibilizando-os sobre a importância da boa experiência ao turista. De modo paralelo à execução, é necessário o monitoramento de indicadores </w:t>
      </w:r>
      <w:bookmarkStart w:id="6" w:name="_Hlk204773679"/>
      <w:r>
        <w:rPr>
          <w:rFonts w:cs="Times New Roman" w:ascii="Times New Roman" w:hAnsi="Times New Roman"/>
          <w:bCs/>
        </w:rPr>
        <w:t>como número de visitantes por determinado período, opinião espontânea de turistas em redes sociais, sítios eletrônicos e aplicativos, opinião estimulada por meio de pesquisas e entrevistas, receitas advindas do turismo em vinícolas, restaurantes, empresas de receptivo turístico e nos próprios municípios da região, com o comparativo de indicadores entre períodos de anos anteriores e posteriores ao da execução do projeto, dentre outros</w:t>
      </w:r>
      <w:bookmarkEnd w:id="6"/>
      <w:r>
        <w:rPr>
          <w:rFonts w:cs="Times New Roman" w:ascii="Times New Roman" w:hAnsi="Times New Roman"/>
          <w:bCs/>
        </w:rPr>
        <w:t>. Também a atividade turística deve pensar nos impactos que pode gerar, projetando-se como sustentável ambiental e socialmente, pelo que é indispensável o diálogo com a população local e a promoção da sustentabilidade ambiental em todas as atividades planejadas, o que é pilar do Turismo de Base Comunitária. Assim, este projeto pretende auxiliar na criação e estruturação de roteiro e rota turísticos para a DO Vales da Uva Goethe, inclusa identidade visual e sinalização, na capacitação dos atores locais e no monitoramento de índices que permitam a fiel leitura da realidade da implantação das ações.</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3. OBJETIVOS</w:t>
      </w:r>
    </w:p>
    <w:p>
      <w:pPr>
        <w:pStyle w:val="Normal"/>
        <w:jc w:val="both"/>
        <w:rPr>
          <w:rFonts w:ascii="Times New Roman" w:hAnsi="Times New Roman" w:cs="Times New Roman"/>
          <w:b/>
          <w:b/>
        </w:rPr>
      </w:pPr>
      <w:r>
        <w:rPr>
          <w:rFonts w:cs="Times New Roman" w:ascii="Times New Roman" w:hAnsi="Times New Roman"/>
          <w:b/>
        </w:rPr>
        <w:t>3.1 Objetivo geral</w:t>
      </w:r>
    </w:p>
    <w:p>
      <w:pPr>
        <w:pStyle w:val="Normal"/>
        <w:ind w:firstLine="720"/>
        <w:jc w:val="both"/>
        <w:rPr>
          <w:rFonts w:ascii="Times New Roman" w:hAnsi="Times New Roman" w:cs="Times New Roman"/>
          <w:bCs/>
        </w:rPr>
      </w:pPr>
      <w:r>
        <w:rPr>
          <w:rFonts w:cs="Times New Roman" w:ascii="Times New Roman" w:hAnsi="Times New Roman"/>
          <w:bCs/>
        </w:rPr>
        <w:t>Promover a valorização da DO Vales da Uva Goethe a partir da criação de roteiros, rotas e atrações turísticas devidamente qualificadas.</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t>3.2 Objetivos específicos</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Diagnosticar a situação atual de roteiros, rotas e atrações turísticas relevantes à exploração turística no território da DO, de modo teórico e prático, com vistas ao turismo de base comunitária inclusivo;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Diagnosticar a participação e atuação do poder público pertinente no incentivo e financiamento de ações que valorizem a DO;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Diagnosticar o impacto do turismo para a população local de onde se estabeleçam rotas e roteiros turísticos;</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Produzir materiais de base à capacitação em Enoturismo e guias de atuação na criação de roteiros, rotas e sinalização turísticos;</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 xml:space="preserve">Capacitar atores locais. formalmente em Curso em Hospitalidade, Turismo de Base Comunitária e Enoturismo nos Vales da Uva Goethe, mas também informalmente a partir do diálogo em visitas </w:t>
      </w:r>
      <w:r>
        <w:rPr>
          <w:rFonts w:cs="Times New Roman" w:ascii="Times New Roman" w:hAnsi="Times New Roman"/>
          <w:bCs/>
          <w:i/>
          <w:iCs/>
          <w:sz w:val="24"/>
          <w:szCs w:val="24"/>
        </w:rPr>
        <w:t>in loco</w:t>
      </w:r>
      <w:r>
        <w:rPr>
          <w:rFonts w:cs="Times New Roman" w:ascii="Times New Roman" w:hAnsi="Times New Roman"/>
          <w:bCs/>
          <w:sz w:val="24"/>
          <w:szCs w:val="24"/>
        </w:rPr>
        <w:t>;</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Produzir projeto de roteiros e rotas turísticas que venham a ser prospectados, incluído projeto de sinalização turística;</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Criar eventos de valorização do Enoturismo, principalmente com vistas a aspectos atuais dos hábitos de consumo e de fatias mais jovens da população;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Articular fórum de responsáveis pelo Turismo do poder público pertinente;</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 xml:space="preserve">Oferecer apoio à participação em editais de fomento e às ações de </w:t>
      </w:r>
      <w:r>
        <w:rPr>
          <w:rFonts w:cs="Times New Roman" w:ascii="Times New Roman" w:hAnsi="Times New Roman"/>
          <w:bCs/>
          <w:i/>
          <w:iCs/>
          <w:sz w:val="24"/>
          <w:szCs w:val="24"/>
        </w:rPr>
        <w:t>advocacy</w:t>
      </w:r>
      <w:r>
        <w:rPr>
          <w:rFonts w:cs="Times New Roman" w:ascii="Times New Roman" w:hAnsi="Times New Roman"/>
          <w:bCs/>
          <w:sz w:val="24"/>
          <w:szCs w:val="24"/>
        </w:rPr>
        <w:t xml:space="preserve"> junto ao poder legislativo;</w:t>
      </w:r>
    </w:p>
    <w:p>
      <w:pPr>
        <w:pStyle w:val="ListParagraph"/>
        <w:widowControl w:val="false"/>
        <w:numPr>
          <w:ilvl w:val="0"/>
          <w:numId w:val="2"/>
        </w:numPr>
        <w:jc w:val="both"/>
        <w:rPr>
          <w:rFonts w:ascii="Times New Roman" w:hAnsi="Times New Roman" w:cs="Times New Roman"/>
          <w:b/>
          <w:b/>
          <w:sz w:val="24"/>
          <w:szCs w:val="24"/>
        </w:rPr>
      </w:pPr>
      <w:r>
        <w:rPr>
          <w:rFonts w:cs="Times New Roman" w:ascii="Times New Roman" w:hAnsi="Times New Roman"/>
          <w:bCs/>
          <w:sz w:val="24"/>
          <w:szCs w:val="24"/>
        </w:rPr>
        <w:t>Realizar Seminário de consolidação do projeto e de divulgação da DO.</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t>4. REVISÃO BIBLIOGRÁFICA</w:t>
      </w:r>
    </w:p>
    <w:p>
      <w:pPr>
        <w:pStyle w:val="Normal"/>
        <w:ind w:firstLine="720"/>
        <w:jc w:val="both"/>
        <w:rPr>
          <w:rFonts w:ascii="Times New Roman" w:hAnsi="Times New Roman" w:cs="Times New Roman"/>
          <w:bCs/>
        </w:rPr>
      </w:pPr>
      <w:r>
        <w:rPr>
          <w:rFonts w:cs="Times New Roman" w:ascii="Times New Roman" w:hAnsi="Times New Roman"/>
          <w:bCs/>
        </w:rPr>
        <w:t xml:space="preserve">Em 2005, dada a importância da retomada de cultivo da uva ‘Goethe’ e da elaboração de vinhos com ela, surgiu a </w:t>
      </w:r>
      <w:r>
        <w:rPr>
          <w:rFonts w:cs="Times New Roman" w:ascii="Times New Roman" w:hAnsi="Times New Roman"/>
          <w:bCs/>
          <w:color w:val="000000"/>
        </w:rPr>
        <w:t>Associação dos Produtores da Uva e do Vinho Goethe</w:t>
      </w:r>
      <w:r>
        <w:rPr>
          <w:rFonts w:cs="Times New Roman" w:ascii="Times New Roman" w:hAnsi="Times New Roman"/>
          <w:bCs/>
        </w:rPr>
        <w:t xml:space="preserve"> (ProGoethe), em 2005 </w:t>
      </w:r>
      <w:r>
        <w:rPr>
          <w:rFonts w:cs="Times New Roman" w:ascii="Times New Roman" w:hAnsi="Times New Roman"/>
          <w:bCs/>
          <w:color w:val="000000"/>
        </w:rPr>
        <w:t xml:space="preserve">(Freitas, 2012), cujo principal </w:t>
      </w:r>
      <w:r>
        <w:rPr>
          <w:rFonts w:cs="Times New Roman" w:ascii="Times New Roman" w:hAnsi="Times New Roman"/>
          <w:bCs/>
        </w:rPr>
        <w:t>objetivo foi a obtenção da Indicação de Procedência (IP), a partir de</w:t>
      </w:r>
      <w:r>
        <w:rPr>
          <w:rFonts w:cs="Times New Roman" w:ascii="Times New Roman" w:hAnsi="Times New Roman"/>
        </w:rPr>
        <w:t xml:space="preserve"> </w:t>
      </w:r>
      <w:r>
        <w:rPr>
          <w:rFonts w:cs="Times New Roman" w:ascii="Times New Roman" w:hAnsi="Times New Roman"/>
          <w:bCs/>
        </w:rPr>
        <w:t>ações com diversos projetos nas áreas técnica e promocional</w:t>
      </w:r>
      <w:bookmarkStart w:id="7" w:name="_Hlk205032915"/>
      <w:r>
        <w:rPr>
          <w:rFonts w:cs="Times New Roman" w:ascii="Times New Roman" w:hAnsi="Times New Roman"/>
          <w:bCs/>
          <w:color w:val="000000"/>
        </w:rPr>
        <w:t xml:space="preserve">, </w:t>
      </w:r>
      <w:r>
        <w:rPr>
          <w:rFonts w:cs="Times New Roman" w:ascii="Times New Roman" w:hAnsi="Times New Roman"/>
          <w:bCs/>
        </w:rPr>
        <w:t>na intenção de qualificar de forma crescente os vinhos de mesa ‘Goethe</w:t>
      </w:r>
      <w:bookmarkEnd w:id="7"/>
      <w:r>
        <w:rPr>
          <w:rFonts w:cs="Times New Roman" w:ascii="Times New Roman" w:hAnsi="Times New Roman"/>
          <w:bCs/>
        </w:rPr>
        <w:t>’</w:t>
      </w:r>
      <w:r>
        <w:rPr>
          <w:rFonts w:cs="Times New Roman" w:ascii="Times New Roman" w:hAnsi="Times New Roman"/>
          <w:bCs/>
          <w:color w:val="000000"/>
        </w:rPr>
        <w:t xml:space="preserve"> (Camargo; Tonietto; Hoffmann, 2011)</w:t>
      </w:r>
      <w:r>
        <w:rPr>
          <w:rFonts w:cs="Times New Roman" w:ascii="Times New Roman" w:hAnsi="Times New Roman"/>
          <w:bCs/>
        </w:rPr>
        <w:t xml:space="preserve">. O </w:t>
      </w:r>
      <w:r>
        <w:rPr>
          <w:rFonts w:cs="Times New Roman" w:ascii="Times New Roman" w:hAnsi="Times New Roman"/>
          <w:bCs/>
          <w:color w:val="000000"/>
        </w:rPr>
        <w:t>Instituto Nacional da Propriedade Industrial (INPI, 2012)</w:t>
      </w:r>
      <w:r>
        <w:rPr>
          <w:rFonts w:cs="Times New Roman" w:ascii="Times New Roman" w:hAnsi="Times New Roman"/>
          <w:bCs/>
        </w:rPr>
        <w:t xml:space="preserve"> concedeu o registro da IP Vales da Uva Goethe devido à qualidade, tipicidade e identidade, tornando-se a primeira Indicação Geográfica (IG) de Santa Catarina </w:t>
      </w:r>
      <w:r>
        <w:rPr>
          <w:rFonts w:cs="Times New Roman" w:ascii="Times New Roman" w:hAnsi="Times New Roman"/>
          <w:color w:val="000000"/>
        </w:rPr>
        <w:t>(Associação dos Produtores da Uva e do Vinho Goethe,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xml:space="preserve">. Foi reconhecida a “IP de Produto Vinho branco seco, suave ou demi-sec, leve branco seco, suave ou demi-sec, vinho espumante brut ou demi-sec obtidos pelo método “Champenoise” e pelo método “Charmat”, vinho licoroso” </w:t>
      </w:r>
      <w:r>
        <w:rPr>
          <w:rFonts w:cs="Times New Roman" w:ascii="Times New Roman" w:hAnsi="Times New Roman"/>
          <w:bCs/>
          <w:color w:val="000000"/>
        </w:rPr>
        <w:t>(INPI, 2012)</w:t>
      </w:r>
      <w:r>
        <w:rPr>
          <w:rFonts w:cs="Times New Roman" w:ascii="Times New Roman" w:hAnsi="Times New Roman"/>
          <w:bCs/>
        </w:rPr>
        <w:t xml:space="preserve">. </w:t>
      </w:r>
    </w:p>
    <w:p>
      <w:pPr>
        <w:pStyle w:val="Normal"/>
        <w:ind w:firstLine="720"/>
        <w:jc w:val="both"/>
        <w:rPr>
          <w:rFonts w:ascii="Times New Roman" w:hAnsi="Times New Roman" w:cs="Times New Roman"/>
          <w:bCs/>
          <w:sz w:val="20"/>
          <w:szCs w:val="20"/>
        </w:rPr>
      </w:pPr>
      <w:r>
        <w:rPr>
          <w:rFonts w:cs="Times New Roman" w:ascii="Times New Roman" w:hAnsi="Times New Roman"/>
          <w:bCs/>
        </w:rPr>
        <w:t>Já em 2025, o INPI reitera a área total de 458,90 km</w:t>
      </w:r>
      <w:r>
        <w:rPr>
          <w:rFonts w:cs="Times New Roman" w:ascii="Times New Roman" w:hAnsi="Times New Roman"/>
          <w:bCs/>
          <w:vertAlign w:val="superscript"/>
        </w:rPr>
        <w:t>2</w:t>
      </w:r>
      <w:r>
        <w:rPr>
          <w:rFonts w:cs="Times New Roman" w:ascii="Times New Roman" w:hAnsi="Times New Roman"/>
          <w:bCs/>
        </w:rPr>
        <w:t xml:space="preserve">, incluindo os municípios de Cocal do Sul, Treze de Maio e Orleans, sendo definida pela bacia do rio Urussanga, pelas sub-bacias de seus afluentes, os rios América, Caeté, Cocal, do Carvão e Maior, por seu vale principal, pela bacia do rio Tubarão e pelas sub-bacias de seus afluentes, os rio Lageado, Molha, Armazém e Azambuja </w:t>
      </w:r>
      <w:r>
        <w:rPr>
          <w:rFonts w:cs="Times New Roman" w:ascii="Times New Roman" w:hAnsi="Times New Roman"/>
          <w:bCs/>
          <w:color w:val="000000"/>
        </w:rPr>
        <w:t xml:space="preserve">(INPI, 2025). </w:t>
      </w:r>
      <w:r>
        <w:rPr>
          <w:rFonts w:cs="Times New Roman" w:ascii="Times New Roman" w:hAnsi="Times New Roman"/>
          <w:bCs/>
        </w:rPr>
        <w:t>A singularidade de características intrínsecas do território dos Vales da Uva Goethe foi reconhecida pelo órgão, que concedeu a alteração de registro de IP para DO.</w:t>
      </w:r>
    </w:p>
    <w:p>
      <w:pPr>
        <w:pStyle w:val="Normal"/>
        <w:ind w:firstLine="720"/>
        <w:jc w:val="both"/>
        <w:rPr>
          <w:rFonts w:ascii="Times New Roman" w:hAnsi="Times New Roman" w:cs="Times New Roman"/>
          <w:bCs/>
        </w:rPr>
      </w:pPr>
      <w:r>
        <w:rPr>
          <w:rFonts w:cs="Times New Roman" w:ascii="Times New Roman" w:hAnsi="Times New Roman"/>
          <w:bCs/>
        </w:rPr>
        <w:t xml:space="preserve">Para </w:t>
      </w:r>
      <w:r>
        <w:rPr>
          <w:rFonts w:cs="Times New Roman" w:ascii="Times New Roman" w:hAnsi="Times New Roman"/>
          <w:bCs/>
          <w:color w:val="000000"/>
        </w:rPr>
        <w:t>Freitas (2012, p. 21)</w:t>
      </w:r>
      <w:r>
        <w:rPr>
          <w:rFonts w:cs="Times New Roman" w:ascii="Times New Roman" w:hAnsi="Times New Roman"/>
          <w:bCs/>
        </w:rPr>
        <w:t>, “o Sul Catarinense é o único local onde essa variedade de uva é produzida em escala comercial", evidenciando a identidade e exclusividade dos produtos com ela elaborados. A importância da uva ‘Goethe’ reside na qualidade do vinho produzido, que exprime o máximo do “</w:t>
      </w:r>
      <w:r>
        <w:rPr>
          <w:rFonts w:cs="Times New Roman" w:ascii="Times New Roman" w:hAnsi="Times New Roman"/>
          <w:bCs/>
          <w:i/>
          <w:iCs/>
        </w:rPr>
        <w:t>terroir</w:t>
      </w:r>
      <w:r>
        <w:rPr>
          <w:rFonts w:cs="Times New Roman" w:ascii="Times New Roman" w:hAnsi="Times New Roman"/>
          <w:bCs/>
        </w:rPr>
        <w:t>” e agrega origem, cultura e “</w:t>
      </w:r>
      <w:r>
        <w:rPr>
          <w:rFonts w:cs="Times New Roman" w:ascii="Times New Roman" w:hAnsi="Times New Roman"/>
          <w:bCs/>
          <w:i/>
          <w:iCs/>
        </w:rPr>
        <w:t>savoir</w:t>
      </w:r>
      <w:r>
        <w:rPr>
          <w:rFonts w:cs="Times New Roman" w:ascii="Times New Roman" w:hAnsi="Times New Roman"/>
          <w:bCs/>
        </w:rPr>
        <w:t>-</w:t>
      </w:r>
      <w:r>
        <w:rPr>
          <w:rFonts w:cs="Times New Roman" w:ascii="Times New Roman" w:hAnsi="Times New Roman"/>
          <w:bCs/>
          <w:i/>
          <w:iCs/>
        </w:rPr>
        <w:t>faire</w:t>
      </w:r>
      <w:r>
        <w:rPr>
          <w:rFonts w:cs="Times New Roman" w:ascii="Times New Roman" w:hAnsi="Times New Roman"/>
          <w:bCs/>
        </w:rPr>
        <w:t xml:space="preserve">” </w:t>
      </w:r>
      <w:r>
        <w:rPr>
          <w:rFonts w:cs="Times New Roman" w:ascii="Times New Roman" w:hAnsi="Times New Roman"/>
          <w:color w:val="000000"/>
        </w:rPr>
        <w:t xml:space="preserve">(Schuck </w:t>
      </w:r>
      <w:r>
        <w:rPr>
          <w:rFonts w:cs="Times New Roman" w:ascii="Times New Roman" w:hAnsi="Times New Roman"/>
          <w:i/>
          <w:iCs/>
          <w:color w:val="000000"/>
        </w:rPr>
        <w:t>et al.</w:t>
      </w:r>
      <w:r>
        <w:rPr>
          <w:rFonts w:cs="Times New Roman" w:ascii="Times New Roman" w:hAnsi="Times New Roman"/>
          <w:color w:val="000000"/>
        </w:rPr>
        <w:t>, 2010)</w:t>
      </w:r>
      <w:r>
        <w:rPr>
          <w:rFonts w:cs="Times New Roman" w:ascii="Times New Roman" w:hAnsi="Times New Roman"/>
          <w:bCs/>
        </w:rPr>
        <w:t xml:space="preserve">. Dessa uva, elabora-se tradicionalmente vinho branco aromático, com características peculiares, típico da região </w:t>
      </w:r>
      <w:r>
        <w:rPr>
          <w:rFonts w:cs="Times New Roman" w:ascii="Times New Roman" w:hAnsi="Times New Roman"/>
          <w:bCs/>
          <w:color w:val="000000"/>
        </w:rPr>
        <w:t xml:space="preserve">(Camargo; Tonietto; Hoffmann, 2011). </w:t>
      </w:r>
      <w:r>
        <w:rPr>
          <w:rFonts w:cs="Times New Roman" w:ascii="Times New Roman" w:hAnsi="Times New Roman"/>
          <w:bCs/>
        </w:rPr>
        <w:t xml:space="preserve">Dela também se elaboram espumantes produzidos pelos métodos Tradicional e Charmat </w:t>
      </w:r>
      <w:r>
        <w:rPr>
          <w:rFonts w:cs="Times New Roman" w:ascii="Times New Roman" w:hAnsi="Times New Roman"/>
          <w:bCs/>
          <w:color w:val="000000"/>
        </w:rPr>
        <w:t>(Caliari; Rosier; Bordignon-Luiz, 2013)</w:t>
      </w:r>
      <w:r>
        <w:rPr>
          <w:rFonts w:cs="Times New Roman" w:ascii="Times New Roman" w:hAnsi="Times New Roman"/>
          <w:bCs/>
        </w:rPr>
        <w:t>, atividade essa iniciada nos Vales da Uva Goethe, sendo um produto genuíno do local.</w:t>
      </w:r>
    </w:p>
    <w:p>
      <w:pPr>
        <w:pStyle w:val="Normal"/>
        <w:ind w:firstLine="720"/>
        <w:jc w:val="both"/>
        <w:rPr>
          <w:rFonts w:ascii="Times New Roman" w:hAnsi="Times New Roman" w:cs="Times New Roman"/>
          <w:bCs/>
        </w:rPr>
      </w:pPr>
      <w:r>
        <w:rPr>
          <w:rFonts w:cs="Times New Roman" w:ascii="Times New Roman" w:hAnsi="Times New Roman"/>
          <w:bCs/>
        </w:rPr>
        <w:t xml:space="preserve">A região dos Vales da Uva Goethe tem como cidade central o município de Urussanga. É lá onde está a maior concentração de vinícolas e vinhedos pertencentes à Denominação de Origem Vales da Uva Goethe, pelo que merece destaque. Para a </w:t>
      </w:r>
      <w:r>
        <w:rPr>
          <w:rFonts w:cs="Times New Roman" w:ascii="Times New Roman" w:hAnsi="Times New Roman"/>
          <w:color w:val="000000"/>
        </w:rPr>
        <w:t>Diretoria de Turismo de Urussanga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xml:space="preserve"> as principais atrações são a produção artesanal referenciada culturalmente, as danças e canções típicas, a saborosa e diversificada gastronomia típica italiana e a elaboração de vinhos, espumantes e sucos. Ainda segundo a Diretoria, Urussanga tem acesso terrestre pelas rodovias BR-101, SC-444, SC-445 (Morro da Fumaça, acesso principal) e SC-446, passando por Criciúma e Cocal do Sul (acesso sul) ou Gravatal e Orleans (acesso norte), e aéreo pelo aeroporto em Forquilhinha, a 31 km de distância, e em Jaguaruna, Aeroporto Regional Humberto Ghizzo Bortoluzzi, a 44 km, via SC-445; por outro lado, o acesso por ônibus de linhas regulares se dá pela Rodoviária de Criciúma.</w:t>
      </w:r>
    </w:p>
    <w:p>
      <w:pPr>
        <w:pStyle w:val="Normal"/>
        <w:ind w:firstLine="720"/>
        <w:jc w:val="both"/>
        <w:rPr>
          <w:rFonts w:ascii="Times New Roman" w:hAnsi="Times New Roman" w:cs="Times New Roman"/>
          <w:bCs/>
        </w:rPr>
      </w:pPr>
      <w:r>
        <w:rPr>
          <w:rFonts w:cs="Times New Roman" w:ascii="Times New Roman" w:hAnsi="Times New Roman"/>
          <w:bCs/>
        </w:rPr>
        <w:t xml:space="preserve">A Tabela 1 traz dados socioeconômicos relevantes à atividade turística dos municípios que fazem parte da DO Vales da Uva Goethe. Percebe-se uma variação considerável na área e na produtividade das uvas, ressaltando-se que não se tratam unicamente de ‘Goethe’, flutuação semelhante ao que ocorre com área total e população. Contrastam com essa variabilidade os dados econômicos, muito semelhantes, que revelam uma renda média pouco elevada, e um percentual relevante da população não exercendo atividades laborais, acrescido de outra parcela com renda nominal </w:t>
      </w:r>
      <w:r>
        <w:rPr>
          <w:rFonts w:cs="Times New Roman" w:ascii="Times New Roman" w:hAnsi="Times New Roman"/>
          <w:bCs/>
          <w:i/>
          <w:iCs/>
        </w:rPr>
        <w:t>per capita</w:t>
      </w:r>
      <w:r>
        <w:rPr>
          <w:rFonts w:cs="Times New Roman" w:ascii="Times New Roman" w:hAnsi="Times New Roman"/>
          <w:bCs/>
        </w:rPr>
        <w:t xml:space="preserve"> bastante baixa. Estas observações são importantes para pensar que o turismo pode ser indutor de desenvolvimento social, aumentando postos de trabalho, qualificando a população e aumentando a renda média. Assim, tanto as empresas e comércios se beneficiam da atividade turística quanto a população local, que muitas vezes se vê apartada da exploração do turismo de massa. É parte do objetivo de uma atividade turística sustentável a promoção da qualidade de vida da população local, mas também a integração harmônica dos visitantes com as pessoas locais, e mesmo da exploração turística aos hábitos regionais.</w:t>
      </w:r>
    </w:p>
    <w:p>
      <w:pPr>
        <w:pStyle w:val="Normal"/>
        <w:ind w:firstLine="720"/>
        <w:jc w:val="both"/>
        <w:rPr>
          <w:rFonts w:ascii="Times New Roman" w:hAnsi="Times New Roman" w:cs="Times New Roman"/>
          <w:bCs/>
        </w:rPr>
      </w:pPr>
      <w:r>
        <w:rPr>
          <w:rFonts w:cs="Times New Roman" w:ascii="Times New Roman" w:hAnsi="Times New Roman"/>
          <w:bCs/>
        </w:rPr>
      </w:r>
    </w:p>
    <w:p>
      <w:pPr>
        <w:pStyle w:val="Normal"/>
        <w:ind w:firstLine="720"/>
        <w:jc w:val="both"/>
        <w:rPr>
          <w:rFonts w:ascii="Times New Roman" w:hAnsi="Times New Roman" w:cs="Times New Roman"/>
          <w:bCs/>
        </w:rPr>
      </w:pPr>
      <w:r>
        <w:rPr>
          <w:rFonts w:cs="Times New Roman" w:ascii="Times New Roman" w:hAnsi="Times New Roman"/>
          <w:bCs/>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Tabela 1 – Dados socioeconômicos dos municípios da DO Vales da Uva Goethe</w:t>
      </w:r>
    </w:p>
    <w:tbl>
      <w:tblPr>
        <w:tblStyle w:val="Tabelacomgrade"/>
        <w:tblW w:w="799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694"/>
        <w:gridCol w:w="993"/>
        <w:gridCol w:w="766"/>
        <w:gridCol w:w="666"/>
        <w:gridCol w:w="550"/>
        <w:gridCol w:w="515"/>
        <w:gridCol w:w="550"/>
        <w:gridCol w:w="1016"/>
        <w:gridCol w:w="563"/>
        <w:gridCol w:w="681"/>
      </w:tblGrid>
      <w:tr>
        <w:trPr/>
        <w:tc>
          <w:tcPr>
            <w:tcW w:w="1694"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Município</w:t>
            </w:r>
          </w:p>
        </w:tc>
        <w:tc>
          <w:tcPr>
            <w:tcW w:w="993"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Área (km</w:t>
            </w:r>
            <w:r>
              <w:rPr>
                <w:rFonts w:eastAsia="Times New Roman" w:cs="Times New Roman" w:ascii="Times New Roman" w:hAnsi="Times New Roman"/>
                <w:b/>
                <w:kern w:val="0"/>
                <w:sz w:val="20"/>
                <w:szCs w:val="20"/>
                <w:vertAlign w:val="superscript"/>
                <w:lang w:val="pt-BR" w:eastAsia="pt-BR" w:bidi="ar-SA"/>
              </w:rPr>
              <w:t>2</w:t>
            </w:r>
            <w:r>
              <w:rPr>
                <w:rFonts w:eastAsia="Times New Roman" w:cs="Times New Roman" w:ascii="Times New Roman" w:hAnsi="Times New Roman"/>
                <w:b/>
                <w:kern w:val="0"/>
                <w:sz w:val="20"/>
                <w:szCs w:val="20"/>
                <w:lang w:val="pt-BR" w:eastAsia="pt-BR" w:bidi="ar-SA"/>
              </w:rPr>
              <w:t>)</w:t>
            </w:r>
          </w:p>
        </w:tc>
        <w:tc>
          <w:tcPr>
            <w:tcW w:w="766"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Pop. (hab)</w:t>
            </w:r>
          </w:p>
        </w:tc>
        <w:tc>
          <w:tcPr>
            <w:tcW w:w="666"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IDH</w:t>
            </w:r>
          </w:p>
        </w:tc>
        <w:tc>
          <w:tcPr>
            <w:tcW w:w="550"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PO (%)</w:t>
            </w:r>
          </w:p>
        </w:tc>
        <w:tc>
          <w:tcPr>
            <w:tcW w:w="515"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SM</w:t>
            </w:r>
          </w:p>
        </w:tc>
        <w:tc>
          <w:tcPr>
            <w:tcW w:w="550"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RE (%)</w:t>
            </w:r>
          </w:p>
        </w:tc>
        <w:tc>
          <w:tcPr>
            <w:tcW w:w="1016"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PIB (R$/hab)</w:t>
            </w:r>
          </w:p>
        </w:tc>
        <w:tc>
          <w:tcPr>
            <w:tcW w:w="563"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AV (ha)</w:t>
            </w:r>
          </w:p>
        </w:tc>
        <w:tc>
          <w:tcPr>
            <w:tcW w:w="681" w:type="dxa"/>
            <w:tcBorders>
              <w:left w:val="nil"/>
              <w:right w:val="nil"/>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RM (t/ha)</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Urussanga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254,954</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20.919</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0,772</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41</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2,6</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50.731,67</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102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6</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Pedras Grandes</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159,892</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4.245</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0,728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42</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61.922,73</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122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Morro da Fumaça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82,878</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18.537</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0,738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43</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50.954,44</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20</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Içara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230,487</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59.035</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0,741</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44</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29</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60.654,48</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24</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Nova Veneza</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295,063</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13.664</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0,768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67</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2,3</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69.255,25</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Cocal do Sul</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70,965</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17.240</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0,780</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40</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2,8</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25</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52.196,27</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22</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7</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Treze de Maio</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159,833</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7.362</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 xml:space="preserve">0,729 </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36</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1,7</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23</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28.110,99</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20</w:t>
            </w:r>
          </w:p>
        </w:tc>
      </w:tr>
      <w:tr>
        <w:trPr/>
        <w:tc>
          <w:tcPr>
            <w:tcW w:w="1694"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Orleans</w:t>
            </w:r>
          </w:p>
        </w:tc>
        <w:tc>
          <w:tcPr>
            <w:tcW w:w="99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549,859</w:t>
            </w:r>
          </w:p>
        </w:tc>
        <w:tc>
          <w:tcPr>
            <w:tcW w:w="7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23.661</w:t>
            </w:r>
          </w:p>
        </w:tc>
        <w:tc>
          <w:tcPr>
            <w:tcW w:w="66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0,755</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44</w:t>
            </w:r>
          </w:p>
        </w:tc>
        <w:tc>
          <w:tcPr>
            <w:tcW w:w="515"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2,3</w:t>
            </w:r>
          </w:p>
        </w:tc>
        <w:tc>
          <w:tcPr>
            <w:tcW w:w="550"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24</w:t>
            </w:r>
          </w:p>
        </w:tc>
        <w:tc>
          <w:tcPr>
            <w:tcW w:w="1016"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51.296,22</w:t>
            </w:r>
          </w:p>
        </w:tc>
        <w:tc>
          <w:tcPr>
            <w:tcW w:w="563"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28</w:t>
            </w:r>
          </w:p>
        </w:tc>
        <w:tc>
          <w:tcPr>
            <w:tcW w:w="681" w:type="dxa"/>
            <w:tcBorders>
              <w:left w:val="nil"/>
              <w:right w:val="nil"/>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w:t>
            </w:r>
          </w:p>
        </w:tc>
      </w:tr>
    </w:tbl>
    <w:p>
      <w:pPr>
        <w:pStyle w:val="Normal"/>
        <w:jc w:val="center"/>
        <w:rPr>
          <w:rFonts w:ascii="Times New Roman" w:hAnsi="Times New Roman" w:cs="Times New Roman"/>
          <w:bCs/>
          <w:sz w:val="20"/>
          <w:szCs w:val="20"/>
        </w:rPr>
      </w:pPr>
      <w:r>
        <w:rPr>
          <w:rFonts w:cs="Times New Roman" w:ascii="Times New Roman" w:hAnsi="Times New Roman"/>
          <w:bCs/>
          <w:sz w:val="20"/>
          <w:szCs w:val="20"/>
        </w:rPr>
        <w:t xml:space="preserve">Pop.: população; hab: habitantes; IDH: índice de desenvolvimento humano; PO: população ocupada; SM: salário médio dos trabalhadores formais, em salários mínimos; RE: percentual da população com rendimento nominal mensal </w:t>
      </w:r>
      <w:r>
        <w:rPr>
          <w:rFonts w:cs="Times New Roman" w:ascii="Times New Roman" w:hAnsi="Times New Roman"/>
          <w:bCs/>
          <w:i/>
          <w:iCs/>
          <w:sz w:val="20"/>
          <w:szCs w:val="20"/>
        </w:rPr>
        <w:t>per capita</w:t>
      </w:r>
      <w:r>
        <w:rPr>
          <w:rFonts w:cs="Times New Roman" w:ascii="Times New Roman" w:hAnsi="Times New Roman"/>
          <w:bCs/>
          <w:sz w:val="20"/>
          <w:szCs w:val="20"/>
        </w:rPr>
        <w:t xml:space="preserve"> de até meio salário mínimo; PIB: produto interno bruto </w:t>
      </w:r>
      <w:r>
        <w:rPr>
          <w:rFonts w:cs="Times New Roman" w:ascii="Times New Roman" w:hAnsi="Times New Roman"/>
          <w:bCs/>
          <w:i/>
          <w:iCs/>
          <w:sz w:val="20"/>
          <w:szCs w:val="20"/>
        </w:rPr>
        <w:t>per capita</w:t>
      </w:r>
      <w:r>
        <w:rPr>
          <w:rFonts w:cs="Times New Roman" w:ascii="Times New Roman" w:hAnsi="Times New Roman"/>
          <w:bCs/>
          <w:sz w:val="20"/>
          <w:szCs w:val="20"/>
        </w:rPr>
        <w:t>; AV: área de vinhedos; RM: rendimento médio do vinhedo.</w:t>
      </w:r>
    </w:p>
    <w:p>
      <w:pPr>
        <w:pStyle w:val="Normal"/>
        <w:jc w:val="center"/>
        <w:rPr>
          <w:rFonts w:ascii="Times New Roman" w:hAnsi="Times New Roman" w:cs="Times New Roman"/>
          <w:bCs/>
          <w:color w:val="000000"/>
          <w:sz w:val="20"/>
          <w:szCs w:val="20"/>
        </w:rPr>
      </w:pPr>
      <w:r>
        <w:rPr>
          <w:rFonts w:cs="Times New Roman" w:ascii="Times New Roman" w:hAnsi="Times New Roman"/>
          <w:bCs/>
          <w:sz w:val="20"/>
          <w:szCs w:val="20"/>
        </w:rPr>
        <w:t xml:space="preserve">Fonte: dados mais recentes, de anos variados segundo o tipo, adaptados de </w:t>
      </w:r>
      <w:r>
        <w:rPr>
          <w:rFonts w:cs="Times New Roman" w:ascii="Times New Roman" w:hAnsi="Times New Roman"/>
          <w:color w:val="000000"/>
          <w:sz w:val="20"/>
        </w:rPr>
        <w:t>(Instituto Brasileiro de Geografia e Estatística, [</w:t>
      </w:r>
      <w:r>
        <w:rPr>
          <w:rFonts w:cs="Times New Roman" w:ascii="Times New Roman" w:hAnsi="Times New Roman"/>
          <w:i/>
          <w:iCs/>
          <w:color w:val="000000"/>
          <w:sz w:val="20"/>
        </w:rPr>
        <w:t>s. d.</w:t>
      </w:r>
      <w:r>
        <w:rPr>
          <w:rFonts w:cs="Times New Roman" w:ascii="Times New Roman" w:hAnsi="Times New Roman"/>
          <w:color w:val="000000"/>
          <w:sz w:val="20"/>
        </w:rPr>
        <w:t>])</w:t>
      </w:r>
      <w:r>
        <w:rPr>
          <w:rFonts w:cs="Times New Roman" w:ascii="Times New Roman" w:hAnsi="Times New Roman"/>
          <w:bCs/>
          <w:color w:val="000000"/>
          <w:sz w:val="20"/>
          <w:szCs w:val="20"/>
        </w:rPr>
        <w:t>.</w:t>
      </w:r>
    </w:p>
    <w:p>
      <w:pPr>
        <w:pStyle w:val="Normal"/>
        <w:rPr>
          <w:rFonts w:ascii="Times New Roman" w:hAnsi="Times New Roman" w:cs="Times New Roman"/>
          <w:bCs/>
          <w:sz w:val="20"/>
          <w:szCs w:val="20"/>
        </w:rPr>
      </w:pPr>
      <w:r>
        <w:rPr>
          <w:rFonts w:cs="Times New Roman" w:ascii="Times New Roman" w:hAnsi="Times New Roman"/>
          <w:bCs/>
          <w:sz w:val="20"/>
          <w:szCs w:val="20"/>
        </w:rPr>
      </w:r>
    </w:p>
    <w:p>
      <w:pPr>
        <w:pStyle w:val="Normal"/>
        <w:ind w:firstLine="720"/>
        <w:jc w:val="both"/>
        <w:rPr>
          <w:rFonts w:ascii="Times New Roman" w:hAnsi="Times New Roman" w:cs="Times New Roman"/>
          <w:bCs/>
        </w:rPr>
      </w:pPr>
      <w:r>
        <w:rPr>
          <w:rFonts w:cs="Times New Roman" w:ascii="Times New Roman" w:hAnsi="Times New Roman"/>
          <w:bCs/>
        </w:rPr>
        <w:t xml:space="preserve">Região Turística é o espaço geográfico que apresenta características e potencialidades similares e complementares, capazes de serem articuladas e que definem um território, delimitado para fins de planejamento e gestão, não dependendo de limites geográficos administrativos, segundo o </w:t>
      </w:r>
      <w:r>
        <w:rPr>
          <w:rFonts w:cs="Times New Roman" w:ascii="Times New Roman" w:hAnsi="Times New Roman"/>
          <w:bCs/>
          <w:color w:val="000000"/>
        </w:rPr>
        <w:t>Ministério do Turismo</w:t>
      </w:r>
      <w:r>
        <w:rPr>
          <w:rFonts w:cs="Times New Roman" w:ascii="Times New Roman" w:hAnsi="Times New Roman"/>
          <w:bCs/>
        </w:rPr>
        <w:t xml:space="preserve"> </w:t>
      </w:r>
      <w:r>
        <w:rPr>
          <w:rFonts w:cs="Times New Roman" w:ascii="Times New Roman" w:hAnsi="Times New Roman"/>
          <w:bCs/>
          <w:color w:val="000000"/>
        </w:rPr>
        <w:t>(MTur, 2007b)</w:t>
      </w:r>
      <w:r>
        <w:rPr>
          <w:rFonts w:cs="Times New Roman" w:ascii="Times New Roman" w:hAnsi="Times New Roman"/>
          <w:bCs/>
        </w:rPr>
        <w:t xml:space="preserve">. Rota turística é um percurso continuado e delimitado cuja identidade é reforçada ou atribuída pela utilização turística, ou seja, é um itinerário com contexto na história, onde o turista percorre o mesmo caminho trilhado por alguns personagens de uma determinada época, composta por uma sequência na ordem dos destinos a serem visitados, havendo sempre um ponto inicial e um ponto final, podendo contemplar vários roteiros e perpassar várias regiões turísticas </w:t>
      </w:r>
      <w:r>
        <w:rPr>
          <w:rFonts w:cs="Times New Roman" w:ascii="Times New Roman" w:hAnsi="Times New Roman"/>
          <w:bCs/>
          <w:color w:val="000000"/>
        </w:rPr>
        <w:t>(MTur, 2007a)</w:t>
      </w:r>
      <w:r>
        <w:rPr>
          <w:rFonts w:cs="Times New Roman" w:ascii="Times New Roman" w:hAnsi="Times New Roman"/>
          <w:bCs/>
        </w:rPr>
        <w:t xml:space="preserve">. Roteiro turístico é um itinerário caracterizado por um ou mais elementos que lhe conferem identidade, sendo eminentemente temático, definido e estruturado para fins de planejamento, gestão, promoção e comercialização turística das localidades que o formam, também tendo flexibilidade territorial; mais maleável que a rota, não exige sequência de visitação, ou seja, não tem obrigatoriamente começo e fim, facultando ao turista a escolha de como executar sua visitação </w:t>
      </w:r>
      <w:r>
        <w:rPr>
          <w:rFonts w:cs="Times New Roman" w:ascii="Times New Roman" w:hAnsi="Times New Roman"/>
          <w:bCs/>
          <w:color w:val="000000"/>
        </w:rPr>
        <w:t>(MTur, 2007a)</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rPr>
        <w:t xml:space="preserve">Após aprofundado estudo em conceitos vinculados a produções brasileiras, o </w:t>
      </w:r>
      <w:r>
        <w:rPr>
          <w:rFonts w:cs="Times New Roman" w:ascii="Times New Roman" w:hAnsi="Times New Roman"/>
          <w:bCs/>
          <w:color w:val="000000"/>
        </w:rPr>
        <w:t>MTur</w:t>
      </w:r>
      <w:r>
        <w:rPr>
          <w:rFonts w:cs="Times New Roman" w:ascii="Times New Roman" w:hAnsi="Times New Roman"/>
          <w:color w:val="000000"/>
        </w:rPr>
        <w:t xml:space="preserve"> (2023) consolidou </w:t>
      </w:r>
      <w:r>
        <w:rPr>
          <w:rFonts w:cs="Times New Roman" w:ascii="Times New Roman" w:hAnsi="Times New Roman"/>
          <w:bCs/>
        </w:rPr>
        <w:t xml:space="preserve">Turismo de Base Comunitária, de forma muito sintética, como modelo de gestão do turismo que busca, prioritariamente, protagonismo e participação ativa das comunidades anfitriãs nos processos decisórios relacionados ao turismo. O </w:t>
      </w:r>
      <w:r>
        <w:rPr>
          <w:rFonts w:cs="Times New Roman" w:ascii="Times New Roman" w:hAnsi="Times New Roman"/>
          <w:bCs/>
          <w:color w:val="000000"/>
        </w:rPr>
        <w:t>MTur (2009)</w:t>
      </w:r>
      <w:r>
        <w:rPr>
          <w:rFonts w:cs="Times New Roman" w:ascii="Times New Roman" w:hAnsi="Times New Roman"/>
          <w:bCs/>
        </w:rPr>
        <w:t xml:space="preserve"> permite compreender Turismo Inclusivo como aquele que permite que todos os segmentos da população sejam beneficiados para desfrutar do turismo de lazer, removendo pessoas com deficiência de diferentes tipologias e com mobilidade reduzida, como idosos e obesos, da exclusão social do turismo. Faz parte do Turismo Social, também definido pelo Ministério como forma de conduzir e praticar a atividade turística promovendo a igualdade de oportunidades, a equidade, a solidariedade e o exercício da cidadania na perspectiva da inclusão, competindo ao mercado de turismo e de seus parceiros o lançamento de produtos que contribuam para a inclusão, mas que não se destinem apenas a um grupo social.</w:t>
      </w:r>
    </w:p>
    <w:p>
      <w:pPr>
        <w:pStyle w:val="Normal"/>
        <w:ind w:firstLine="720"/>
        <w:jc w:val="both"/>
        <w:rPr>
          <w:rFonts w:ascii="Times New Roman" w:hAnsi="Times New Roman" w:cs="Times New Roman"/>
          <w:bCs/>
        </w:rPr>
      </w:pPr>
      <w:r>
        <w:rPr>
          <w:rFonts w:cs="Times New Roman" w:ascii="Times New Roman" w:hAnsi="Times New Roman"/>
          <w:bCs/>
        </w:rPr>
        <w:t xml:space="preserve">Enoturismo (turismo do vinho) é a viagem para a experiência de vinícolas e regiões produtoras e suas ligações com o estilo de vida local, abrangendo tanto a prestação de serviços quanto o marketing de destino </w:t>
      </w:r>
      <w:r>
        <w:rPr>
          <w:rFonts w:cs="Times New Roman" w:ascii="Times New Roman" w:hAnsi="Times New Roman"/>
          <w:bCs/>
          <w:color w:val="000000"/>
        </w:rPr>
        <w:t>(Mitchell; Hall; McIntosh, 2000)</w:t>
      </w:r>
      <w:r>
        <w:rPr>
          <w:rFonts w:cs="Times New Roman" w:ascii="Times New Roman" w:hAnsi="Times New Roman"/>
          <w:bCs/>
        </w:rPr>
        <w:t xml:space="preserve">. Também pode ser estratégia de planejamento e marketing de destino, além de ser estratégia de marketing e vendas para vinícolas e empresas de vinho: segundo estas três perspectivas; a pesquisa deve ser direcionada tanto às características e opiniões do consumidor quanto da indústria </w:t>
      </w:r>
      <w:r>
        <w:rPr>
          <w:rFonts w:cs="Times New Roman" w:ascii="Times New Roman" w:hAnsi="Times New Roman"/>
          <w:bCs/>
          <w:color w:val="000000"/>
        </w:rPr>
        <w:t>(Carlsen; Dowling, 2001)</w:t>
      </w:r>
      <w:r>
        <w:rPr>
          <w:rFonts w:cs="Times New Roman" w:ascii="Times New Roman" w:hAnsi="Times New Roman"/>
          <w:bCs/>
        </w:rPr>
        <w:t>.</w:t>
      </w:r>
    </w:p>
    <w:p>
      <w:pPr>
        <w:pStyle w:val="Normal"/>
        <w:ind w:firstLine="720"/>
        <w:jc w:val="both"/>
        <w:rPr>
          <w:rFonts w:ascii="Times New Roman" w:hAnsi="Times New Roman" w:cs="Times New Roman"/>
          <w:bCs/>
        </w:rPr>
      </w:pPr>
      <w:r>
        <w:rPr>
          <w:rFonts w:cs="Times New Roman" w:ascii="Times New Roman" w:hAnsi="Times New Roman"/>
          <w:bCs/>
        </w:rPr>
        <w:t xml:space="preserve">Urussanga está localizada na Região Turística Encantos do Sul, a qual, colonizada por açorianos, oferece turismo histórico, belas praias, observação de baleias, a única mina de carvão aberta à visitação no país e estâncias hidrominerais, caracterizando-se por um diverso roteiro turístico </w:t>
      </w:r>
      <w:r>
        <w:rPr>
          <w:rFonts w:cs="Times New Roman" w:ascii="Times New Roman" w:hAnsi="Times New Roman"/>
          <w:color w:val="000000"/>
        </w:rPr>
        <w:t>(Diretoria de Turismo de Urussanga, [</w:t>
      </w:r>
      <w:r>
        <w:rPr>
          <w:rFonts w:cs="Times New Roman" w:ascii="Times New Roman" w:hAnsi="Times New Roman"/>
          <w:i/>
          <w:iCs/>
          <w:color w:val="000000"/>
        </w:rPr>
        <w:t>s. d.</w:t>
      </w:r>
      <w:r>
        <w:rPr>
          <w:rFonts w:cs="Times New Roman" w:ascii="Times New Roman" w:hAnsi="Times New Roman"/>
          <w:color w:val="000000"/>
        </w:rPr>
        <w:t>])</w:t>
      </w:r>
      <w:r>
        <w:rPr>
          <w:rFonts w:cs="Times New Roman" w:ascii="Times New Roman" w:hAnsi="Times New Roman"/>
          <w:bCs/>
        </w:rPr>
        <w:t>. Os demais municípios dos Vales da Uva também fazem parte dessa região, que tem muito a ganhar com a promoção da DO e com o fomento de roteiro e rota turística que pode unir tradição, tipicidade e produtos de qualidade como atrativos, explorados em vinícolas e vinhedos, unindo a produção alimentícia à sua origem no campo, agrupando-se ao roteiro já estabelecido.</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5. ALTERNATIVAS DE DESENVOLVIMENTO DO EIXO PARA COMPOSIÇÃO DO PLANO DE TRABALHO</w:t>
      </w:r>
    </w:p>
    <w:p>
      <w:pPr>
        <w:pStyle w:val="Normal"/>
        <w:ind w:firstLine="720"/>
        <w:jc w:val="both"/>
        <w:rPr>
          <w:rFonts w:ascii="Times New Roman" w:hAnsi="Times New Roman" w:cs="Times New Roman"/>
          <w:bCs/>
        </w:rPr>
      </w:pPr>
      <w:r>
        <w:rPr>
          <w:rFonts w:cs="Times New Roman" w:ascii="Times New Roman" w:hAnsi="Times New Roman"/>
          <w:bCs/>
        </w:rPr>
        <w:t>Este projeto abrangerá todas as alternativas de desenvolvimento, trabalhando os pontos específicos exequíveis no espaço de tempo e conforme os recursos materiais disponíveis, tendo em vista que não são abundantes. Para tanto, em algumas situações, serão constituídos os pilares de determinada ação, estabelecendo o projeto para execução imediata ou futura com recursos próprios da ProGoethe, dos empresários em seus próprios negócios (quando cabível e em face de benefício público comum) e do poder público, podendo-se lançar mão da participação em editais de fomento, diminuindo a barreira de idealização, agilizando a adoção das soluções e diminuindo ou eliminando o custo com consultorias. Também serão buscadas emendas parlamentares. Assim, as alternativas de desenvolvimento seguem aqui customizadas:</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Capacitação de atores locais para o turismo de base comunitária;</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Mapeamento e estruturação de atrativos turísticos associados à IG / Proposta e implementação de roteiros turísticos temáticos baseados na IG;</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Criação ou fortalecimento de rotas ou circuitos turísticos regionais, integrando a IG a outras rotas e circuitos existentes ou a serem criados, com foco na produção local;</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Produção de material promocional e de projeto de sinalização turística com placas interpretativas e sinalização direcional com identidade visual da IG;</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Apoio à realização de eventos e experiências turísticas já existentes, e idealização e execução de evento com foco na IG;</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Articulação com políticas públicas de turismo e cultura, obtendo a inserção da IG em planos municipais, estaduais ou nacionais de turismo e patrimônio cultural / Apoio técnico na participação de editais de apoio financeiro e na prospecção e formalização de parcerias;</w:t>
      </w:r>
    </w:p>
    <w:p>
      <w:pPr>
        <w:pStyle w:val="ListParagraph"/>
        <w:widowControl w:val="false"/>
        <w:numPr>
          <w:ilvl w:val="0"/>
          <w:numId w:val="1"/>
        </w:numPr>
        <w:ind w:left="426" w:hanging="360"/>
        <w:jc w:val="both"/>
        <w:rPr>
          <w:rFonts w:ascii="Times New Roman" w:hAnsi="Times New Roman" w:cs="Times New Roman"/>
          <w:bCs/>
          <w:sz w:val="24"/>
          <w:szCs w:val="24"/>
        </w:rPr>
      </w:pPr>
      <w:r>
        <w:rPr>
          <w:rFonts w:cs="Times New Roman" w:ascii="Times New Roman" w:hAnsi="Times New Roman"/>
          <w:bCs/>
          <w:sz w:val="24"/>
          <w:szCs w:val="24"/>
        </w:rPr>
        <w:t>Diagnóstico da realidade atual da infraestrutura para recepção de visitantes e proposição de melhorias sintonizadas com as possibilidades de cada estabelecimento turístico.</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t>6. METODOLOGIA</w:t>
      </w:r>
    </w:p>
    <w:p>
      <w:pPr>
        <w:pStyle w:val="Normal"/>
        <w:ind w:firstLine="720"/>
        <w:jc w:val="both"/>
        <w:rPr>
          <w:rFonts w:ascii="Times New Roman" w:hAnsi="Times New Roman" w:cs="Times New Roman"/>
          <w:bCs/>
        </w:rPr>
      </w:pPr>
      <w:r>
        <w:rPr>
          <w:rFonts w:cs="Times New Roman" w:ascii="Times New Roman" w:hAnsi="Times New Roman"/>
          <w:bCs/>
        </w:rPr>
        <w:t xml:space="preserve">De modo genérico, as pesquisas teóricas, segundo as categorias elencadas por </w:t>
      </w:r>
      <w:r>
        <w:rPr>
          <w:rFonts w:cs="Times New Roman" w:ascii="Times New Roman" w:hAnsi="Times New Roman"/>
          <w:bCs/>
          <w:color w:val="000000"/>
        </w:rPr>
        <w:t>Silveira e Córdova (2009),</w:t>
      </w:r>
      <w:r>
        <w:rPr>
          <w:rFonts w:cs="Times New Roman" w:ascii="Times New Roman" w:hAnsi="Times New Roman"/>
          <w:bCs/>
        </w:rPr>
        <w:t xml:space="preserve"> terão enfoque</w:t>
      </w:r>
      <w:r>
        <w:rPr>
          <w:rFonts w:cs="Times New Roman" w:ascii="Times New Roman" w:hAnsi="Times New Roman"/>
          <w:bCs/>
          <w:color w:val="000000"/>
        </w:rPr>
        <w:t xml:space="preserve"> na </w:t>
      </w:r>
      <w:r>
        <w:rPr>
          <w:rFonts w:cs="Times New Roman" w:ascii="Times New Roman" w:hAnsi="Times New Roman"/>
          <w:bCs/>
        </w:rPr>
        <w:t>abordagem qualitativa, preocupando-se com o aprofundamento da compreensão do objeto de pesquisa; na natureza aplicada, objetivando gerar conhecimentos para aplicação prática, dirigidos à solução de problemas específicos; no objetivo exploratório, primando por proporcionar maior familiaridade com o problema, com vistas a torná-lo mais explícito ou a construir hipóteses (Gil, 2007 apud Silveira; Córdova, 2009); no procedimental bibliográfico, feito a partir do levantamento de referências teóricas já analisadas, e publicadas (Fonseca, 2002 apud Silveira; Córdova, 2009).</w:t>
      </w:r>
    </w:p>
    <w:p>
      <w:pPr>
        <w:pStyle w:val="Normal"/>
        <w:ind w:firstLine="720"/>
        <w:jc w:val="both"/>
        <w:rPr>
          <w:rFonts w:ascii="Times New Roman" w:hAnsi="Times New Roman" w:cs="Times New Roman"/>
          <w:bCs/>
          <w:color w:val="000000"/>
        </w:rPr>
      </w:pPr>
      <w:r>
        <w:rPr>
          <w:rFonts w:cs="Times New Roman" w:ascii="Times New Roman" w:hAnsi="Times New Roman"/>
          <w:bCs/>
        </w:rPr>
        <w:t xml:space="preserve">A pesquisa de campo terá natureza etnográfica, utilizando-se de esquema conceitual prévio, a partir do qual serão levantadas questões relevantes </w:t>
      </w:r>
      <w:r>
        <w:rPr>
          <w:rFonts w:cs="Times New Roman" w:ascii="Times New Roman" w:hAnsi="Times New Roman"/>
          <w:bCs/>
          <w:color w:val="000000"/>
        </w:rPr>
        <w:t>(Lüdke; André, 2012)</w:t>
      </w:r>
      <w:r>
        <w:rPr>
          <w:rFonts w:cs="Times New Roman" w:ascii="Times New Roman" w:hAnsi="Times New Roman"/>
          <w:bCs/>
        </w:rPr>
        <w:t xml:space="preserve">. As atividades serão precedidas de fase exploratória, definindo objeto, pressupostos, teorias e métodos pertinentes, e questões operacionais do trabalho prático </w:t>
      </w:r>
      <w:r>
        <w:rPr>
          <w:rFonts w:cs="Times New Roman" w:ascii="Times New Roman" w:hAnsi="Times New Roman"/>
          <w:bCs/>
          <w:color w:val="000000"/>
        </w:rPr>
        <w:t>(Minayo, 2001)</w:t>
      </w:r>
      <w:r>
        <w:rPr>
          <w:rFonts w:cs="Times New Roman" w:ascii="Times New Roman" w:hAnsi="Times New Roman"/>
          <w:bCs/>
        </w:rPr>
        <w:t xml:space="preserve">. A operacionalização combinará entrevistas, observações, levantamentos de materiais diversos, confirmando ou refutando hipóteses e construindo teorias </w:t>
      </w:r>
      <w:r>
        <w:rPr>
          <w:rFonts w:cs="Times New Roman" w:ascii="Times New Roman" w:hAnsi="Times New Roman"/>
          <w:bCs/>
          <w:color w:val="000000"/>
        </w:rPr>
        <w:t>(Minayo, 2001). Serão utilizadas entrevistas não estruturadas, com o pesquisador abordando livremente o tema proposto, e observação participante, por contato direto do observador com o fenômeno e os atores pesquisados para obter informações sobre a realidade dos atores sociais em seus próprios contextos, podendo modificar e ser modificado por estas situações (Neto, 2001).</w:t>
      </w:r>
    </w:p>
    <w:p>
      <w:pPr>
        <w:pStyle w:val="Normal"/>
        <w:ind w:firstLine="720"/>
        <w:jc w:val="both"/>
        <w:rPr>
          <w:rFonts w:ascii="Times New Roman" w:hAnsi="Times New Roman" w:cs="Times New Roman"/>
          <w:bCs/>
          <w:color w:val="000000"/>
        </w:rPr>
      </w:pPr>
      <w:r>
        <w:rPr>
          <w:rFonts w:cs="Times New Roman" w:ascii="Times New Roman" w:hAnsi="Times New Roman"/>
          <w:bCs/>
          <w:color w:val="000000"/>
        </w:rPr>
        <w:t>O acompanhamento do progresso das atividades será instrumento de controle de frequência dos participantes do projeto e se dará por meio do acompanhamento em tempo real da redação das atividades específicas demandadas em cada frente de trabalho por meio de edição de texto compartilhada. A presença em reuniões será efetivada por assinatura de lista de presença e pelas atas arquivadas posteriormente. A presença dos participantes da capacitação será efetivada por assinatura de lista de presença, e a dos formadores, pela declaração emitida pelo IFSC sob solicitação da coordenação do projeto, além dos registros fotográficos.</w:t>
      </w:r>
    </w:p>
    <w:p>
      <w:pPr>
        <w:pStyle w:val="Normal"/>
        <w:ind w:firstLine="720"/>
        <w:jc w:val="both"/>
        <w:rPr>
          <w:rFonts w:ascii="Times New Roman" w:hAnsi="Times New Roman" w:cs="Times New Roman"/>
          <w:bCs/>
        </w:rPr>
      </w:pPr>
      <w:r>
        <w:rPr>
          <w:rFonts w:cs="Times New Roman" w:ascii="Times New Roman" w:hAnsi="Times New Roman"/>
          <w:bCs/>
        </w:rPr>
        <w:t>Os métodos específicos e procedimentos para a atuação no projeto serão descritos relacionando-se as alternativas de desenvolvimento a cada tempo e método que lhe digam respeito, identificadas somente pela letra a que correspondem na listagem do tópico 5. Portanto, haverá ações coordenadas de caráter holístico que passam pelo diagnóstico das situações iniciais, pelo estudo teórico prático das mesmas e terminam na apresentação das propostas e ações concretas para cada frente de atuação realizada por alternativa de desenvolvimento.</w:t>
      </w:r>
    </w:p>
    <w:p>
      <w:pPr>
        <w:pStyle w:val="Normal"/>
        <w:ind w:firstLine="720"/>
        <w:jc w:val="both"/>
        <w:rPr>
          <w:rFonts w:ascii="Times New Roman" w:hAnsi="Times New Roman" w:cs="Times New Roman"/>
          <w:bCs/>
        </w:rPr>
      </w:pPr>
      <w:r>
        <w:rPr>
          <w:rFonts w:cs="Times New Roman" w:ascii="Times New Roman" w:hAnsi="Times New Roman"/>
          <w:bCs/>
        </w:rPr>
        <w:t xml:space="preserve">O material de referência em sinalização turística será elaborado a partir do Guia brasileiro de sinalização turística do </w:t>
      </w:r>
      <w:r>
        <w:rPr>
          <w:rFonts w:cs="Times New Roman" w:ascii="Times New Roman" w:hAnsi="Times New Roman"/>
          <w:bCs/>
          <w:color w:val="000000"/>
        </w:rPr>
        <w:t>Instituto do Patrimônio Histórico e Artístico Nacional (2021)</w:t>
      </w:r>
      <w:r>
        <w:rPr>
          <w:rFonts w:cs="Times New Roman" w:ascii="Times New Roman" w:hAnsi="Times New Roman"/>
          <w:bCs/>
        </w:rPr>
        <w:t xml:space="preserve"> (d, g). O material sobre criação de roteiros e rotas turísticos será concebido a partir das Diretrizes do Programa de Regionalização do Turismo </w:t>
      </w:r>
      <w:r>
        <w:rPr>
          <w:rFonts w:cs="Times New Roman" w:ascii="Times New Roman" w:hAnsi="Times New Roman"/>
          <w:bCs/>
          <w:color w:val="000000"/>
        </w:rPr>
        <w:t>(MTur, 2013)</w:t>
      </w:r>
      <w:r>
        <w:rPr>
          <w:rFonts w:cs="Times New Roman" w:ascii="Times New Roman" w:hAnsi="Times New Roman"/>
          <w:bCs/>
        </w:rPr>
        <w:t xml:space="preserve"> (b, c) O material sobre estrutura dos estabelecimentos turísticos adicionada do viés inclusivo será baseado nas diretrizes do </w:t>
      </w:r>
      <w:r>
        <w:rPr>
          <w:rFonts w:cs="Times New Roman" w:ascii="Times New Roman" w:hAnsi="Times New Roman"/>
          <w:bCs/>
          <w:color w:val="000000"/>
        </w:rPr>
        <w:t>(MTur, 2009) (b, f, g)</w:t>
      </w:r>
      <w:r>
        <w:rPr>
          <w:rFonts w:cs="Times New Roman" w:ascii="Times New Roman" w:hAnsi="Times New Roman"/>
          <w:bCs/>
        </w:rPr>
        <w:t xml:space="preserve">.  O material sobre princípios de hospitalidade, turismo de base comunitária, recepção e atendimento ao cliente voltado ao Enoturismo, incluindo conhecimento, diferenciação e promoção dos diversos estilos de vinhos ‘Goethe’ elaborados na região, apoiado em autores de referência nas diversas áreas, incluindo as diretrizes governamentais brasileiras </w:t>
      </w:r>
      <w:r>
        <w:rPr>
          <w:rFonts w:cs="Times New Roman" w:ascii="Times New Roman" w:hAnsi="Times New Roman"/>
          <w:bCs/>
          <w:color w:val="000000"/>
        </w:rPr>
        <w:t>(MTur, 2013, 2023)</w:t>
      </w:r>
      <w:r>
        <w:rPr>
          <w:rFonts w:cs="Times New Roman" w:ascii="Times New Roman" w:hAnsi="Times New Roman"/>
          <w:bCs/>
        </w:rPr>
        <w:t xml:space="preserve"> (a).</w:t>
      </w:r>
    </w:p>
    <w:p>
      <w:pPr>
        <w:pStyle w:val="Normal"/>
        <w:ind w:firstLine="720"/>
        <w:jc w:val="both"/>
        <w:rPr>
          <w:rFonts w:ascii="Times New Roman" w:hAnsi="Times New Roman" w:cs="Times New Roman"/>
          <w:bCs/>
        </w:rPr>
      </w:pPr>
      <w:r>
        <w:rPr>
          <w:rFonts w:cs="Times New Roman" w:ascii="Times New Roman" w:hAnsi="Times New Roman"/>
          <w:bCs/>
        </w:rPr>
        <w:t>O projeto proporá um material especial, utilizando aspectos da vida e obra de Johann Wolfgang von Goethe como fonte de arte e cultura, nos pontos onde esta toca a singularidade do vinho ‘Goethe’, agregando valor ao Enoturismo, aberto a possibilidades de eventos como saraus literários e uso em material de divulgação e na identidade visual da DO (b, c, e). Serão levantados eventos e atividades turísticas da região que tenham ligação ao Enoturismo, e será proposta a criação de experiências inéditas (e).</w:t>
      </w:r>
    </w:p>
    <w:p>
      <w:pPr>
        <w:pStyle w:val="Normal"/>
        <w:ind w:firstLine="720"/>
        <w:jc w:val="both"/>
        <w:rPr>
          <w:rFonts w:ascii="Times New Roman" w:hAnsi="Times New Roman" w:cs="Times New Roman"/>
          <w:bCs/>
        </w:rPr>
      </w:pPr>
      <w:r>
        <w:rPr>
          <w:rFonts w:cs="Times New Roman" w:ascii="Times New Roman" w:hAnsi="Times New Roman"/>
          <w:bCs/>
        </w:rPr>
        <w:t xml:space="preserve">Serão prospectados editais de fomento para ampliar o aporte financeiro e satisfazer as necessidades de apoio da DO. Também serão procurados políticos com afinidade aos temas do turismo, agricultura e desenvolvimento regional para trabalho de </w:t>
      </w:r>
      <w:r>
        <w:rPr>
          <w:rFonts w:cs="Times New Roman" w:ascii="Times New Roman" w:hAnsi="Times New Roman"/>
          <w:bCs/>
          <w:i/>
          <w:iCs/>
        </w:rPr>
        <w:t>advocacy</w:t>
      </w:r>
      <w:r>
        <w:rPr>
          <w:rFonts w:cs="Times New Roman" w:ascii="Times New Roman" w:hAnsi="Times New Roman"/>
          <w:bCs/>
        </w:rPr>
        <w:t xml:space="preserve"> em busca de emendas parlamentares segundo a Cartilha Parlamentar 2024-2025 do </w:t>
      </w:r>
      <w:r>
        <w:rPr>
          <w:rFonts w:cs="Times New Roman" w:ascii="Times New Roman" w:hAnsi="Times New Roman"/>
          <w:bCs/>
          <w:color w:val="000000"/>
        </w:rPr>
        <w:t>MTur (2024).</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7. RESULTADOS ESPERADOS</w:t>
      </w:r>
    </w:p>
    <w:p>
      <w:pPr>
        <w:pStyle w:val="Normal"/>
        <w:ind w:firstLine="720"/>
        <w:jc w:val="both"/>
        <w:rPr>
          <w:rFonts w:ascii="Times New Roman" w:hAnsi="Times New Roman" w:cs="Times New Roman"/>
          <w:bCs/>
        </w:rPr>
      </w:pPr>
      <w:r>
        <w:rPr>
          <w:rFonts w:cs="Times New Roman" w:ascii="Times New Roman" w:hAnsi="Times New Roman"/>
          <w:bCs/>
        </w:rPr>
        <w:t>Criação e consolidação de roteiros e rotas Enoturísticos para a DO Vales da Uva Goethe, incluindo projeto de sinalização e imagem da mesma. Diagnósticos de estrutura e condições de propriedades envolvidas com o Enoturismo, de modo inclusivo, e da percepção da população local quanto ao turismo. Capacitação de atores locais e melhoria das condições de recepção turística. Divulgação das atrações turísticas e roteiros e rotas da DO, incluindo a criação de eventos com potencial de exploração enoturística. Articulação política junto a diferentes esferas da administração pública na promoção, consolidação e divulgação da DO e de seu potencial turístico, incluindo o financiamento de ações.</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8. PRODUTOS ESPERADOS</w:t>
      </w:r>
    </w:p>
    <w:p>
      <w:pPr>
        <w:pStyle w:val="Normal"/>
        <w:ind w:firstLine="720"/>
        <w:jc w:val="both"/>
        <w:rPr>
          <w:rFonts w:ascii="Times New Roman" w:hAnsi="Times New Roman" w:cs="Times New Roman"/>
          <w:bCs/>
        </w:rPr>
      </w:pPr>
      <w:r>
        <w:rPr>
          <w:rFonts w:cs="Times New Roman" w:ascii="Times New Roman" w:hAnsi="Times New Roman"/>
          <w:bCs/>
        </w:rPr>
        <w:t xml:space="preserve">É esperada a constituição dos seguintes produtos: folders de divulgação da DO e de suas atrações turísticas; diagnóstico das propriedades envolvidas no Enoturismo, com plano de ação e de procedimentos turísticos sugeridos; diagnóstico da população local em relação ao turismo atual e às perspectivas de maior exploração turística; Capacitação em Hospitalidade, Turismo de Base Comunitária e Enoturismo nos Vales da Uva Goethe; cartilha de hospitalidade e recepção turística em Enoturismo nos Vales da Uva Goethe; projeto de Roteiro da Uva e do Vinho Goethe, conciliando tradição e modernidade, aliando cultura regional à arte, representada pela vida e obra de Johann Wolfgang von Goethe; projeto de Rota Turística Integrada entre a Região Metropolitana de Florianópolis e as cidades da Região Turística Encantos do Sul; projeto da sinalização de rodovias, cidades, propriedades públicas e privadas de interesse turístico; proposta de sarau literário “Goethe encotra Goethe”, onde poetas, atores e outros artistas serão convidados a fazer intervenções artísticas sobre a obra de Goethe, acompanhada da comercialização dos vinhos da região; criação de experiências de consumo inéditas, contemporâneas, como forma de atrair diferentes públicos, como piqueniques, </w:t>
      </w:r>
      <w:r>
        <w:rPr>
          <w:rFonts w:cs="Times New Roman" w:ascii="Times New Roman" w:hAnsi="Times New Roman"/>
          <w:bCs/>
          <w:i/>
          <w:iCs/>
        </w:rPr>
        <w:t>sunsets</w:t>
      </w:r>
      <w:r>
        <w:rPr>
          <w:rFonts w:cs="Times New Roman" w:ascii="Times New Roman" w:hAnsi="Times New Roman"/>
          <w:bCs/>
        </w:rPr>
        <w:t xml:space="preserve">, </w:t>
      </w:r>
      <w:r>
        <w:rPr>
          <w:rFonts w:cs="Times New Roman" w:ascii="Times New Roman" w:hAnsi="Times New Roman"/>
          <w:bCs/>
          <w:i/>
          <w:iCs/>
        </w:rPr>
        <w:t>lounges</w:t>
      </w:r>
      <w:r>
        <w:rPr>
          <w:rFonts w:cs="Times New Roman" w:ascii="Times New Roman" w:hAnsi="Times New Roman"/>
          <w:bCs/>
        </w:rPr>
        <w:t xml:space="preserve"> e </w:t>
      </w:r>
      <w:r>
        <w:rPr>
          <w:rFonts w:cs="Times New Roman" w:ascii="Times New Roman" w:hAnsi="Times New Roman"/>
          <w:bCs/>
          <w:i/>
          <w:iCs/>
        </w:rPr>
        <w:t>wine</w:t>
      </w:r>
      <w:r>
        <w:rPr>
          <w:rFonts w:cs="Times New Roman" w:ascii="Times New Roman" w:hAnsi="Times New Roman"/>
          <w:bCs/>
        </w:rPr>
        <w:t xml:space="preserve"> </w:t>
      </w:r>
      <w:r>
        <w:rPr>
          <w:rFonts w:cs="Times New Roman" w:ascii="Times New Roman" w:hAnsi="Times New Roman"/>
          <w:bCs/>
          <w:i/>
          <w:iCs/>
        </w:rPr>
        <w:t>gardens</w:t>
      </w:r>
      <w:r>
        <w:rPr>
          <w:rFonts w:cs="Times New Roman" w:ascii="Times New Roman" w:hAnsi="Times New Roman"/>
          <w:bCs/>
        </w:rPr>
        <w:t>; articulação do fórum das autoridades e entidades do Turismo dos Vales da Uva Goethe; Seminário de entrega dos produtos e encerramento do projeto.</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9. CRONOGRAMA DE EXECUÇÃO</w:t>
      </w:r>
    </w:p>
    <w:p>
      <w:pPr>
        <w:pStyle w:val="Normal"/>
        <w:ind w:firstLine="720"/>
        <w:jc w:val="both"/>
        <w:rPr>
          <w:rFonts w:ascii="Times New Roman" w:hAnsi="Times New Roman" w:cs="Times New Roman"/>
          <w:bCs/>
        </w:rPr>
      </w:pPr>
      <w:r>
        <w:rPr>
          <w:rFonts w:cs="Times New Roman" w:ascii="Times New Roman" w:hAnsi="Times New Roman"/>
        </w:rPr>
        <w:t xml:space="preserve">O Quadro 2 exibe o cronograma de execução do projeto a partir do planejamento e da organização das atividades segundo o método 5W2H, preconizado no </w:t>
      </w:r>
      <w:r>
        <w:rPr>
          <w:rFonts w:cs="Times New Roman" w:ascii="Times New Roman" w:hAnsi="Times New Roman"/>
          <w:bCs/>
        </w:rPr>
        <w:t>Edital Ifes Nº 12/2025. Detalhamento das atividades e das ações de execução encontram-se no Apêndice 1.</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Cs/>
        </w:rPr>
      </w:pPr>
      <w:r>
        <w:rPr>
          <w:rFonts w:cs="Times New Roman" w:ascii="Times New Roman" w:hAnsi="Times New Roman"/>
          <w:sz w:val="20"/>
          <w:szCs w:val="20"/>
        </w:rPr>
        <w:t>Quadro 2 - Planejamento e organização das atividades.</w:t>
      </w:r>
    </w:p>
    <w:tbl>
      <w:tblPr>
        <w:tblW w:w="9624" w:type="dxa"/>
        <w:jc w:val="center"/>
        <w:tblInd w:w="0" w:type="dxa"/>
        <w:tblLayout w:type="fixed"/>
        <w:tblCellMar>
          <w:top w:w="30" w:type="dxa"/>
          <w:left w:w="45" w:type="dxa"/>
          <w:bottom w:w="30" w:type="dxa"/>
          <w:right w:w="45" w:type="dxa"/>
        </w:tblCellMar>
        <w:tblLook w:val="04a0" w:noHBand="0" w:noVBand="1" w:firstColumn="1" w:lastRow="0" w:lastColumn="0" w:firstRow="1"/>
      </w:tblPr>
      <w:tblGrid>
        <w:gridCol w:w="2199"/>
        <w:gridCol w:w="1486"/>
        <w:gridCol w:w="725"/>
        <w:gridCol w:w="961"/>
        <w:gridCol w:w="1243"/>
        <w:gridCol w:w="1694"/>
        <w:gridCol w:w="1315"/>
      </w:tblGrid>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Primeira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Referencial em sinalização turística</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Subsídios para atuação na DO</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Pesquisa no referencial do projeto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Composição de referencial teórico digital</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Folhas de ofício (pacote 500 folhas): R$ 25,00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½ Toner de impressão: R$ 180,00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Coordenação: R$ 2.860,00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Externa: R$ 2.860,00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Estudantes: R$ 2.800,00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R$ 8.725,00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Referencial em criação de roteiros e rotas turísticos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Referencial em estrutura dos estabelecimentos turísticos inclusivos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 xml:space="preserve">Referencial em princípios de hospitalidade, turismo de base comunitária, recepção e atendimento ao cliente voltado ao Enoturismo </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Material Goethe x ‘Goethe’</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Levantamento de eventos e atividades turísticas regionais ligadas ao Enoturismo</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Criação de experiências turísticas inéditas, contemporâneas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Reuniões primeira etapa</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Maio (</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Reuniões híbridas pautadas pela Coordenação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Segunda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Planejamento da visita:</w:t>
            </w:r>
          </w:p>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Contatos e confirmação de agendas para adequada execução e otimização da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das ações</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(6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Gasolina: R$ 402,00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Diárias: R$ 2.797,50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Coordenação: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Externa: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Estudantes: R$ 1.400,00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R$ 7.459,50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Primeira visita à DO:</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Prospecção de participantes da Capacitação (a), condições de implantação de roteiros e rota turística da DO, estrutura e qualidade do serviço de informações turísticas, recepção em estabelecimentos turísticos, ponto de vista da população local; reuniões com órgãos de turismo das prefeituras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Coleta de dados </w:t>
            </w:r>
            <w:r>
              <w:rPr>
                <w:rFonts w:cs="Times New Roman" w:ascii="Times New Roman" w:hAnsi="Times New Roman"/>
                <w:i/>
                <w:iCs/>
                <w:sz w:val="20"/>
                <w:szCs w:val="20"/>
              </w:rPr>
              <w:t>in loco</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(24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Externa, Estudantes e até duas voluntárias interessadas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Visita </w:t>
            </w:r>
            <w:r>
              <w:rPr>
                <w:rFonts w:cs="Times New Roman" w:ascii="Times New Roman" w:hAnsi="Times New Roman"/>
                <w:i/>
                <w:iCs/>
                <w:sz w:val="20"/>
                <w:szCs w:val="20"/>
              </w:rPr>
              <w:t>in loco</w:t>
            </w:r>
            <w:r>
              <w:rPr>
                <w:rFonts w:cs="Times New Roman" w:ascii="Times New Roman" w:hAnsi="Times New Roman"/>
                <w:sz w:val="20"/>
                <w:szCs w:val="20"/>
              </w:rPr>
              <w:t xml:space="preserve"> com entrevistas e pesquisa participativa</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Relatório sobre a população local e o turismo, incluindo desmembramento em artigos sobre visão dos moradores; diagnóstico das propriedades; diagnóstico do enoturismo na região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Consolidação de dados de aspecto social do turismo local</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46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Reuniões segunda etapa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Consolidação de dados, diagnósticos e experiências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Junho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Todos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Reuniões híbridas pautadas pela Coordenação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Terceira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 xml:space="preserve">Materiais digitais </w:t>
            </w:r>
            <w:r>
              <w:rPr>
                <w:rFonts w:cs="Times New Roman" w:ascii="Times New Roman" w:hAnsi="Times New Roman"/>
                <w:bCs/>
                <w:sz w:val="20"/>
                <w:szCs w:val="20"/>
              </w:rPr>
              <w:t>consolidados</w:t>
            </w:r>
            <w:r>
              <w:rPr>
                <w:rFonts w:cs="Times New Roman" w:ascii="Times New Roman" w:hAnsi="Times New Roman"/>
                <w:sz w:val="20"/>
                <w:szCs w:val="20"/>
              </w:rPr>
              <w:t xml:space="preserve"> tipo cartilha de </w:t>
            </w:r>
            <w:r>
              <w:rPr>
                <w:rFonts w:cs="Times New Roman" w:ascii="Times New Roman" w:hAnsi="Times New Roman"/>
                <w:bCs/>
                <w:sz w:val="20"/>
                <w:szCs w:val="20"/>
              </w:rPr>
              <w:t>sinalização, roteiros e rotas,</w:t>
            </w:r>
            <w:r>
              <w:rPr>
                <w:rFonts w:cs="Times New Roman" w:ascii="Times New Roman" w:hAnsi="Times New Roman"/>
                <w:sz w:val="20"/>
                <w:szCs w:val="20"/>
              </w:rPr>
              <w:t xml:space="preserve"> para aplicação de ações na DO e prospecção de verba via editais e emendas parlamentares</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Aplicação nas atividades práticas</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15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Pesquisa no referencial do projeto.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Composição de referencial teórico digital.</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Coordenação: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Externa: R$ 1.430,00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Estudantes: R$ 1.400,00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 Total: R$ 4.260,00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(valor considerado doravante como “Bolsas mensais”).</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Propostas de m</w:t>
            </w:r>
            <w:r>
              <w:rPr>
                <w:rFonts w:cs="Times New Roman" w:ascii="Times New Roman" w:hAnsi="Times New Roman"/>
                <w:sz w:val="20"/>
                <w:szCs w:val="20"/>
              </w:rPr>
              <w:t xml:space="preserve">ateriais digitais tipo cartilha </w:t>
            </w:r>
            <w:r>
              <w:rPr>
                <w:rFonts w:cs="Times New Roman" w:ascii="Times New Roman" w:hAnsi="Times New Roman"/>
                <w:bCs/>
                <w:sz w:val="20"/>
                <w:szCs w:val="20"/>
              </w:rPr>
              <w:t>de recepção turística nas empresas</w:t>
            </w:r>
            <w:r>
              <w:rPr>
                <w:rFonts w:cs="Times New Roman" w:ascii="Times New Roman" w:hAnsi="Times New Roman"/>
                <w:sz w:val="20"/>
                <w:szCs w:val="20"/>
              </w:rPr>
              <w:t xml:space="preserve"> para aplicação de ações nos estabelecimentos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w:t>
            </w:r>
            <w:r>
              <w:rPr>
                <w:rFonts w:cs="Times New Roman" w:ascii="Times New Roman" w:hAnsi="Times New Roman"/>
                <w:bCs/>
                <w:sz w:val="20"/>
                <w:szCs w:val="20"/>
              </w:rPr>
              <w:t xml:space="preserve">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Projetos de</w:t>
            </w:r>
            <w:r>
              <w:rPr>
                <w:rFonts w:cs="Times New Roman" w:ascii="Times New Roman" w:hAnsi="Times New Roman"/>
                <w:bCs/>
                <w:sz w:val="20"/>
                <w:szCs w:val="20"/>
              </w:rPr>
              <w:t xml:space="preserve"> Cartilhas e folders de divulgação</w:t>
            </w:r>
            <w:r>
              <w:rPr>
                <w:rFonts w:cs="Times New Roman" w:ascii="Times New Roman" w:hAnsi="Times New Roman"/>
                <w:sz w:val="20"/>
                <w:szCs w:val="20"/>
              </w:rPr>
              <w:t xml:space="preserve"> da DO e de seus potenciais turísticos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w:t>
            </w:r>
            <w:r>
              <w:rPr>
                <w:rFonts w:cs="Times New Roman" w:ascii="Times New Roman" w:hAnsi="Times New Roman"/>
                <w:bCs/>
                <w:sz w:val="20"/>
                <w:szCs w:val="20"/>
              </w:rPr>
              <w:t xml:space="preserve">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sz w:val="20"/>
                <w:szCs w:val="20"/>
              </w:rPr>
              <w:t xml:space="preserve">Materiais </w:t>
            </w:r>
            <w:r>
              <w:rPr>
                <w:rFonts w:cs="Times New Roman" w:ascii="Times New Roman" w:hAnsi="Times New Roman"/>
                <w:bCs/>
                <w:sz w:val="20"/>
                <w:szCs w:val="20"/>
              </w:rPr>
              <w:t>didáticos</w:t>
            </w:r>
            <w:r>
              <w:rPr>
                <w:rFonts w:cs="Times New Roman" w:ascii="Times New Roman" w:hAnsi="Times New Roman"/>
                <w:sz w:val="20"/>
                <w:szCs w:val="20"/>
              </w:rPr>
              <w:t xml:space="preserve"> digitais e impressos tipo apostila para aplicação de Capacitação, e outras necessidades</w:t>
            </w:r>
          </w:p>
        </w:tc>
        <w:tc>
          <w:tcPr>
            <w:tcW w:w="14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15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Prospecção e participação em editais de fomento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de financiamento de atividades mais avançadas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15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em agências de fomento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Articulação da próxima visita à região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das ações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Organização e preparo da capacitação, incluindo consolidação de lugar, data e público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 ação</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Reuniões terceira etapa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Avaliação de materiais e revisão das ações seguintes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Julho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Todos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Reuniões híbridas pautadas pela Coordenação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Quarta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Elaboração dos planos de ação para cada propriedade interessada, com base nas demandas da primeira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Atuação prática de impacto nas atividades enoturísticas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(30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 para chegar-se a um plano personalizado de cada propriedade</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Comunicação com a DO e ajustes e trocas sobre os trabalhos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das ações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Sem custo direto</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Segunda visita à DO: avaliação das possíveis evoluções em função do projeto, nova reunião com gestores de turismo, entrega de planos de cada propriedade</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Avaliação de impactos do projeto</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Externa, Estudantes e até duas voluntárias interessadas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Visita </w:t>
            </w:r>
            <w:r>
              <w:rPr>
                <w:rFonts w:cs="Times New Roman" w:ascii="Times New Roman" w:hAnsi="Times New Roman"/>
                <w:i/>
                <w:iCs/>
                <w:sz w:val="20"/>
                <w:szCs w:val="20"/>
              </w:rPr>
              <w:t>in loco</w:t>
            </w:r>
            <w:r>
              <w:rPr>
                <w:rFonts w:cs="Times New Roman" w:ascii="Times New Roman" w:hAnsi="Times New Roman"/>
                <w:sz w:val="20"/>
                <w:szCs w:val="20"/>
              </w:rPr>
              <w:t xml:space="preserve"> com entrevistas e pesquisa participativa</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Gasolina: R$ 402,00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Diárias: R$ 2.797,50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R$ 7.459,50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Capacitação de atores regionais em Hospitalidade, Turismo de Base Comunitária Inclusivo e Enoturismo nos Vales da Uva Goethe, como passará a ser chamada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Melhorar o atendimento e a compreensão sobre Enoturismo, transformando a realidade social</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 de curso de formação presencial</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Folhas de ofício (pacote 500 folhas): R$ 25,00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½ Toner de impressão: R$ 180,00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Pastas de papel: R$ 330,00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Canetas: R$ 60,00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Blocos de anotação: R$ 60,00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Vinhos: R$ 1.700,00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Alimentação: R$ 3.600,00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Transporte: R$ 330,00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R$ 6.285,00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Relatório sobre a população local e o turismo, incluindo desmembramento em artigos sobre visão dos moradores; diagnóstico das propriedades; diagnóstico do enoturismo na região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Consolidação de dados de aspecto social do turismo local</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Agosto (</w:t>
            </w:r>
            <w:r>
              <w:rPr>
                <w:rFonts w:cs="Times New Roman" w:ascii="Times New Roman" w:hAnsi="Times New Roman"/>
                <w:bCs/>
                <w:sz w:val="20"/>
                <w:szCs w:val="20"/>
              </w:rPr>
              <w:t>20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Concatenando dados e aplicando o referencial teórico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Quinta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Plantão remoto semanal de atendimento de capacitados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Assistência e consultoria</w:t>
            </w:r>
          </w:p>
        </w:tc>
        <w:tc>
          <w:tcPr>
            <w:tcW w:w="7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 (</w:t>
            </w:r>
            <w:r>
              <w:rPr>
                <w:rFonts w:cs="Times New Roman" w:ascii="Times New Roman" w:hAnsi="Times New Roman"/>
                <w:bCs/>
                <w:sz w:val="20"/>
                <w:szCs w:val="20"/>
              </w:rPr>
              <w:t>32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w:t>
            </w:r>
          </w:p>
        </w:tc>
        <w:tc>
          <w:tcPr>
            <w:tcW w:w="169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 videoconferência.</w:t>
            </w:r>
          </w:p>
        </w:tc>
        <w:tc>
          <w:tcPr>
            <w:tcW w:w="131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R$ 17.040,00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Plantão remoto semanal de consultoria aos gestores públicos de turismo e demais atendidos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Assistência e consultoria</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w:t>
            </w:r>
            <w:r>
              <w:rPr>
                <w:rFonts w:cs="Times New Roman" w:ascii="Times New Roman" w:hAnsi="Times New Roman"/>
                <w:bCs/>
                <w:sz w:val="20"/>
                <w:szCs w:val="20"/>
              </w:rPr>
              <w:t>32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 xml:space="preserve">Elaboração e término de materiais, proposição de eventos e parcerias, relatórios </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Entregas do projeto</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(16</w:t>
            </w:r>
            <w:r>
              <w:rPr>
                <w:rFonts w:cs="Times New Roman" w:ascii="Times New Roman" w:hAnsi="Times New Roman"/>
                <w:bCs/>
                <w:sz w:val="20"/>
                <w:szCs w:val="20"/>
              </w:rPr>
              <w:t xml:space="preserve">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Pesquisa no referencial do projeto.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Composição de referencial teórico digital.</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Compilação de dados e análise crítica do projeto.</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 xml:space="preserve">Prospecção de editais, </w:t>
            </w:r>
            <w:r>
              <w:rPr>
                <w:rFonts w:cs="Times New Roman" w:ascii="Times New Roman" w:hAnsi="Times New Roman"/>
                <w:bCs/>
                <w:i/>
                <w:iCs/>
                <w:sz w:val="20"/>
                <w:szCs w:val="20"/>
              </w:rPr>
              <w:t>advocacy</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de financiamento de atividades mais avançadas</w:t>
            </w:r>
          </w:p>
        </w:tc>
        <w:tc>
          <w:tcPr>
            <w:tcW w:w="7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Setembro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(6</w:t>
            </w:r>
            <w:r>
              <w:rPr>
                <w:rFonts w:cs="Times New Roman" w:ascii="Times New Roman" w:hAnsi="Times New Roman"/>
                <w:bCs/>
                <w:sz w:val="20"/>
                <w:szCs w:val="20"/>
              </w:rPr>
              <w:t xml:space="preserve">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 Externa</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Busca em agências de fomento.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Contatos com parlamentares, incluindo visitas.</w:t>
            </w:r>
          </w:p>
        </w:tc>
        <w:tc>
          <w:tcPr>
            <w:tcW w:w="1315"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Sexta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Finalização dos planos de ação para cada propriedade interessada, com base nas demandas da primeira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Atuação prática de impacto nas atividades enoturísticas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(22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 para chegar-se a um plano personalizado de cada propriedade</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Última visita: reuniões, visitas e eventos de entrega da versão preliminar de todos os produtos elaborados pelo projeto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Entregas e avaliação de impactos do projeto</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(28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Coordenador, Externa, Estudantes e até duas voluntárias interessadas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 xml:space="preserve">Visita </w:t>
            </w:r>
            <w:r>
              <w:rPr>
                <w:rFonts w:cs="Times New Roman" w:ascii="Times New Roman" w:hAnsi="Times New Roman"/>
                <w:i/>
                <w:iCs/>
                <w:sz w:val="20"/>
                <w:szCs w:val="20"/>
              </w:rPr>
              <w:t>in loco</w:t>
            </w:r>
            <w:r>
              <w:rPr>
                <w:rFonts w:cs="Times New Roman" w:ascii="Times New Roman" w:hAnsi="Times New Roman"/>
                <w:sz w:val="20"/>
                <w:szCs w:val="20"/>
              </w:rPr>
              <w:t xml:space="preserve"> com entrevistas e pesquisa participativa</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Gasolina: R$ 402,00</w:t>
            </w:r>
          </w:p>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Diárias: R$ 2.797,50</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R$ 7.459,50</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Relatório da última visita</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Documentação e registro das ações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(10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Narração dos fatos e relato da experiência e da evolução das ações</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Elaboração da versão preliminar dos relatórios finais</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Prestação de contas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Outubro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(20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Todos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Compilação de dados e análise crítica do projeto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Sem custo direto</w:t>
            </w:r>
          </w:p>
        </w:tc>
      </w:tr>
      <w:tr>
        <w:trPr>
          <w:trHeight w:val="315" w:hRule="atLeast"/>
        </w:trPr>
        <w:tc>
          <w:tcPr>
            <w:tcW w:w="9623" w:type="dxa"/>
            <w:gridSpan w:val="7"/>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Sétima Etapa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
                <w:bCs/>
                <w:sz w:val="20"/>
                <w:szCs w:val="20"/>
              </w:rPr>
              <w:t>O Quê?</w:t>
            </w:r>
          </w:p>
        </w:tc>
        <w:tc>
          <w:tcPr>
            <w:tcW w:w="1486"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Por Quê?</w:t>
            </w:r>
          </w:p>
        </w:tc>
        <w:tc>
          <w:tcPr>
            <w:tcW w:w="72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Onde?</w:t>
            </w:r>
          </w:p>
        </w:tc>
        <w:tc>
          <w:tcPr>
            <w:tcW w:w="96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Quando?</w:t>
            </w:r>
          </w:p>
        </w:tc>
        <w:tc>
          <w:tcPr>
            <w:tcW w:w="124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Quem?</w:t>
            </w:r>
          </w:p>
        </w:tc>
        <w:tc>
          <w:tcPr>
            <w:tcW w:w="169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Como?</w:t>
            </w:r>
          </w:p>
        </w:tc>
        <w:tc>
          <w:tcPr>
            <w:tcW w:w="13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Quanto Custa?</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Finalização de todos os trabalhos em curso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Atuação prática de impacto nas atividades enoturísticas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Novembro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 e voluntárias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Concatenação de dados e aplicação do referencial teórico para chegar-se a um plano personalizado de cada propriedade</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e material de expediente</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Planejamento de Seminário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Organização da ação</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Novembro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Supervisão e execução: Coordenador e Externa</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Estudantes</w:t>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Telefone, e-mail, visitas.</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Sem custo direto</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Seminário de entrega final de roteiros e rotas com projeto de sinalização, relatório da Capacitação, relatório dos diagnósticos dos estabelecimentos turísticos (incluindo pré-evento e execução)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Socialização de resultados e interação social e política</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ALESC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Dezembro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Execução de seminário presencial de divulgação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Uso de espaço público, demais custos, se oferecidos, serão bancados por parlamentares</w:t>
            </w:r>
          </w:p>
        </w:tc>
      </w:tr>
      <w:tr>
        <w:trPr>
          <w:trHeight w:val="315" w:hRule="atLeast"/>
        </w:trPr>
        <w:tc>
          <w:tcPr>
            <w:tcW w:w="2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sz w:val="20"/>
                <w:szCs w:val="20"/>
              </w:rPr>
            </w:pPr>
            <w:r>
              <w:rPr>
                <w:rFonts w:cs="Times New Roman" w:ascii="Times New Roman" w:hAnsi="Times New Roman"/>
                <w:bCs/>
                <w:sz w:val="20"/>
                <w:szCs w:val="20"/>
              </w:rPr>
              <w:t>Finalização de trabalhos e relatórios finais à prestação de contas do projeto</w:t>
            </w:r>
          </w:p>
        </w:tc>
        <w:tc>
          <w:tcPr>
            <w:tcW w:w="1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Prestação de contas</w:t>
            </w:r>
          </w:p>
        </w:tc>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IFSC</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Dezembro</w:t>
            </w:r>
          </w:p>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(40 h)</w:t>
            </w:r>
          </w:p>
        </w:tc>
        <w:tc>
          <w:tcPr>
            <w:tcW w:w="1243" w:type="dxa"/>
            <w:vMerge w:val="continu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r>
          </w:p>
        </w:tc>
        <w:tc>
          <w:tcPr>
            <w:tcW w:w="169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Compilação de dados e análise crítica do projeto</w:t>
            </w:r>
          </w:p>
        </w:tc>
        <w:tc>
          <w:tcPr>
            <w:tcW w:w="131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pPr>
              <w:pStyle w:val="Normal"/>
              <w:widowControl w:val="false"/>
              <w:jc w:val="center"/>
              <w:rPr>
                <w:rFonts w:ascii="Times New Roman" w:hAnsi="Times New Roman" w:cs="Times New Roman"/>
                <w:sz w:val="20"/>
                <w:szCs w:val="20"/>
              </w:rPr>
            </w:pPr>
            <w:r>
              <w:rPr>
                <w:rFonts w:cs="Times New Roman" w:ascii="Times New Roman" w:hAnsi="Times New Roman"/>
                <w:sz w:val="20"/>
                <w:szCs w:val="20"/>
              </w:rPr>
              <w:t>Bolsas mensais: R$ 4.260,00</w:t>
            </w:r>
          </w:p>
          <w:p>
            <w:pPr>
              <w:pStyle w:val="Normal"/>
              <w:widowControl w:val="false"/>
              <w:jc w:val="center"/>
              <w:rPr>
                <w:rFonts w:ascii="Times New Roman" w:hAnsi="Times New Roman" w:cs="Times New Roman"/>
                <w:b/>
                <w:b/>
                <w:bCs/>
                <w:sz w:val="20"/>
                <w:szCs w:val="20"/>
              </w:rPr>
            </w:pPr>
            <w:r>
              <w:rPr>
                <w:rFonts w:cs="Times New Roman" w:ascii="Times New Roman" w:hAnsi="Times New Roman"/>
                <w:b/>
                <w:bCs/>
                <w:sz w:val="20"/>
                <w:szCs w:val="20"/>
              </w:rPr>
              <w:t>Total:</w:t>
            </w:r>
          </w:p>
          <w:p>
            <w:pPr>
              <w:pStyle w:val="Normal"/>
              <w:widowControl w:val="false"/>
              <w:jc w:val="center"/>
              <w:rPr>
                <w:rFonts w:ascii="Times New Roman" w:hAnsi="Times New Roman" w:cs="Times New Roman"/>
                <w:sz w:val="20"/>
                <w:szCs w:val="20"/>
              </w:rPr>
            </w:pPr>
            <w:r>
              <w:rPr>
                <w:rFonts w:cs="Times New Roman" w:ascii="Times New Roman" w:hAnsi="Times New Roman"/>
                <w:b/>
                <w:bCs/>
                <w:sz w:val="20"/>
                <w:szCs w:val="20"/>
              </w:rPr>
              <w:t>R$ 4.260,00</w:t>
            </w:r>
          </w:p>
        </w:tc>
      </w:tr>
    </w:tbl>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bookmarkStart w:id="8" w:name="_Hlk205017895"/>
      <w:r>
        <w:rPr>
          <w:rFonts w:cs="Times New Roman" w:ascii="Times New Roman" w:hAnsi="Times New Roman"/>
          <w:b/>
        </w:rPr>
        <w:t>10. PLANO FÍSICO FINANCEIRO</w:t>
      </w:r>
    </w:p>
    <w:p>
      <w:pPr>
        <w:pStyle w:val="Normal"/>
        <w:spacing w:before="135" w:after="0"/>
        <w:ind w:left="71" w:firstLine="649"/>
        <w:jc w:val="both"/>
        <w:rPr>
          <w:rFonts w:ascii="Times New Roman" w:hAnsi="Times New Roman" w:cs="Times New Roman"/>
          <w:bCs/>
        </w:rPr>
      </w:pPr>
      <w:r>
        <w:rPr>
          <w:rFonts w:cs="Times New Roman" w:ascii="Times New Roman" w:hAnsi="Times New Roman"/>
          <w:bCs/>
        </w:rPr>
        <w:t>O Quadro 3 traz a previsão orçamentária para o custeio de pessoal do projeto, excetuados os voluntários. A duração é equivalente ao número de bolsas mensais a serem recebidas por bolsista, e o total é decorrente da multiplicação deste pelos valores da “Tabela 4. Valores e carga horária das bolsas no Eixo III, IV e V” do Edital Ifes Nº 12/2025 de 10 de junho de 2025, estabelecidos com base na Resolução nº 10/2021 – Conselho Superior do Ifes, definida com fundamento na Portaria nº 512 - Setec/MEC, de 13 de junho de 2022.</w:t>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Quadro 3 - Recursos de bolsas para as atividades do projeto</w:t>
      </w:r>
    </w:p>
    <w:tbl>
      <w:tblPr>
        <w:tblStyle w:val="Tabelacomgrade"/>
        <w:tblW w:w="962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985"/>
        <w:gridCol w:w="1034"/>
        <w:gridCol w:w="1332"/>
        <w:gridCol w:w="4195"/>
        <w:gridCol w:w="1078"/>
      </w:tblGrid>
      <w:tr>
        <w:trPr/>
        <w:tc>
          <w:tcPr>
            <w:tcW w:w="1985"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Modalidade / Nível</w:t>
            </w:r>
          </w:p>
        </w:tc>
        <w:tc>
          <w:tcPr>
            <w:tcW w:w="1034" w:type="dxa"/>
            <w:tcBorders/>
            <w:shd w:color="auto" w:fill="D9D9D9" w:themeFill="background1" w:themeFillShade="d9" w:val="clear"/>
            <w:vAlign w:val="center"/>
          </w:tcPr>
          <w:p>
            <w:pPr>
              <w:pStyle w:val="Normal"/>
              <w:widowControl w:val="false"/>
              <w:suppressAutoHyphens w:val="true"/>
              <w:spacing w:before="0" w:after="0"/>
              <w:ind w:left="84" w:hanging="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Duração</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(meses)</w:t>
            </w:r>
          </w:p>
        </w:tc>
        <w:tc>
          <w:tcPr>
            <w:tcW w:w="1332"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Função</w:t>
            </w:r>
          </w:p>
        </w:tc>
        <w:tc>
          <w:tcPr>
            <w:tcW w:w="4195" w:type="dxa"/>
            <w:tcBorders/>
            <w:shd w:color="auto" w:fill="D9D9D9" w:themeFill="background1" w:themeFillShade="d9" w:val="clear"/>
            <w:vAlign w:val="center"/>
          </w:tcPr>
          <w:p>
            <w:pPr>
              <w:pStyle w:val="Normal"/>
              <w:widowControl w:val="false"/>
              <w:suppressAutoHyphens w:val="true"/>
              <w:spacing w:before="0" w:after="0"/>
              <w:ind w:left="72" w:hanging="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Atividades a serem</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realizadas</w:t>
            </w:r>
          </w:p>
        </w:tc>
        <w:tc>
          <w:tcPr>
            <w:tcW w:w="1078" w:type="dxa"/>
            <w:tcBorders/>
            <w:shd w:color="auto" w:fill="D9D9D9" w:themeFill="background1" w:themeFillShade="d9" w:val="clear"/>
            <w:vAlign w:val="center"/>
          </w:tcPr>
          <w:p>
            <w:pPr>
              <w:pStyle w:val="Normal"/>
              <w:widowControl w:val="false"/>
              <w:suppressAutoHyphens w:val="true"/>
              <w:spacing w:before="0" w:after="0"/>
              <w:ind w:left="84" w:hanging="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Recursos</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(R$)</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Coordenador de Projeto (EXT)</w:t>
            </w:r>
          </w:p>
        </w:tc>
        <w:tc>
          <w:tcPr>
            <w:tcW w:w="103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12</w:t>
            </w:r>
          </w:p>
        </w:tc>
        <w:tc>
          <w:tcPr>
            <w:tcW w:w="133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Servidor</w:t>
            </w:r>
          </w:p>
        </w:tc>
        <w:tc>
          <w:tcPr>
            <w:tcW w:w="419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Supervisão e execução de atividades: diagnósticos, materiais escritos, capacitação, viagens.</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Articulação com entidades e órgãos, poder público executivo e legislativo.</w:t>
            </w:r>
          </w:p>
        </w:tc>
        <w:tc>
          <w:tcPr>
            <w:tcW w:w="107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17.160,00</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Colaborador Externo (CLE)</w:t>
            </w:r>
          </w:p>
        </w:tc>
        <w:tc>
          <w:tcPr>
            <w:tcW w:w="103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12</w:t>
            </w:r>
          </w:p>
        </w:tc>
        <w:tc>
          <w:tcPr>
            <w:tcW w:w="133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Externa</w:t>
            </w:r>
          </w:p>
        </w:tc>
        <w:tc>
          <w:tcPr>
            <w:tcW w:w="419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Orientação e execução de atividades: diagnósticos, materiais escritos, capacitação, viagens.</w:t>
            </w:r>
          </w:p>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Articulação com entidades e órgãos, poder público executivo e legislativo.</w:t>
            </w:r>
          </w:p>
        </w:tc>
        <w:tc>
          <w:tcPr>
            <w:tcW w:w="107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17.160,00</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Estudante (atuação no território)</w:t>
            </w:r>
          </w:p>
        </w:tc>
        <w:tc>
          <w:tcPr>
            <w:tcW w:w="1034"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12</w:t>
            </w:r>
          </w:p>
        </w:tc>
        <w:tc>
          <w:tcPr>
            <w:tcW w:w="133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Estudante técnico</w:t>
            </w:r>
          </w:p>
        </w:tc>
        <w:tc>
          <w:tcPr>
            <w:tcW w:w="419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Execução de atividades: diagnósticos, materiais escritos, capacitação, viagens.</w:t>
            </w:r>
          </w:p>
        </w:tc>
        <w:tc>
          <w:tcPr>
            <w:tcW w:w="107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8.400,00</w:t>
            </w:r>
          </w:p>
        </w:tc>
      </w:tr>
      <w:tr>
        <w:trPr/>
        <w:tc>
          <w:tcPr>
            <w:tcW w:w="1985"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(atuação no território)</w:t>
            </w:r>
          </w:p>
        </w:tc>
        <w:tc>
          <w:tcPr>
            <w:tcW w:w="1034"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12</w:t>
            </w:r>
          </w:p>
        </w:tc>
        <w:tc>
          <w:tcPr>
            <w:tcW w:w="133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Estudante superior</w:t>
            </w:r>
          </w:p>
        </w:tc>
        <w:tc>
          <w:tcPr>
            <w:tcW w:w="4195"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Execução de atividades: diagnósticos, materiais escritos, capacitação, viagens.</w:t>
            </w:r>
          </w:p>
        </w:tc>
        <w:tc>
          <w:tcPr>
            <w:tcW w:w="10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8.400,00</w:t>
            </w:r>
          </w:p>
        </w:tc>
      </w:tr>
      <w:tr>
        <w:trPr/>
        <w:tc>
          <w:tcPr>
            <w:tcW w:w="8546" w:type="dxa"/>
            <w:gridSpan w:val="4"/>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Valor total pleiteado para execução da ação (R$)</w:t>
            </w:r>
          </w:p>
        </w:tc>
        <w:tc>
          <w:tcPr>
            <w:tcW w:w="107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
                <w:kern w:val="0"/>
                <w:sz w:val="20"/>
                <w:szCs w:val="20"/>
                <w:lang w:val="pt-BR" w:eastAsia="pt-BR" w:bidi="ar-SA"/>
              </w:rPr>
              <w:t>51.120,00</w:t>
            </w:r>
          </w:p>
        </w:tc>
      </w:tr>
    </w:tbl>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spacing w:before="135" w:after="0"/>
        <w:ind w:left="71" w:firstLine="649"/>
        <w:jc w:val="both"/>
        <w:rPr>
          <w:rFonts w:ascii="Times New Roman" w:hAnsi="Times New Roman" w:cs="Times New Roman"/>
          <w:bCs/>
        </w:rPr>
      </w:pPr>
      <w:r>
        <w:rPr>
          <w:rFonts w:cs="Times New Roman" w:ascii="Times New Roman" w:hAnsi="Times New Roman"/>
          <w:bCs/>
        </w:rPr>
        <w:t>O Quadro 4 traz a previsão orçamentária aproximada para materiais e equipamentos necessários para a execução do projeto. Ressalta-se que é mero levantamento, pois os valores reais dependem do valor de aquisição para o que já é existente, e do valor licitado, no que for de execução pelo IFSC. A pesquisa de preços baseou-se em fontes de internet para estimar o valor aproximado. Os possíveis responsáveis pelo custeio são apontados a cada item.</w:t>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r>
    </w:p>
    <w:p>
      <w:pPr>
        <w:pStyle w:val="Normal"/>
        <w:spacing w:lineRule="exact" w:line="240"/>
        <w:rPr>
          <w:rFonts w:ascii="Times New Roman" w:hAnsi="Times New Roman" w:cs="Times New Roman"/>
          <w:sz w:val="20"/>
          <w:szCs w:val="20"/>
        </w:rPr>
      </w:pPr>
      <w:r>
        <w:rPr>
          <w:rFonts w:cs="Times New Roman" w:ascii="Times New Roman" w:hAnsi="Times New Roman"/>
          <w:sz w:val="20"/>
          <w:szCs w:val="20"/>
        </w:rPr>
        <w:t>Quadro 4 – Estimativa de custos com materiais e equipamentos necessários à pesquisa</w:t>
      </w:r>
    </w:p>
    <w:tbl>
      <w:tblPr>
        <w:tblStyle w:val="Tabelacomgrade"/>
        <w:tblW w:w="9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3828"/>
        <w:gridCol w:w="708"/>
        <w:gridCol w:w="1560"/>
        <w:gridCol w:w="1417"/>
        <w:gridCol w:w="1552"/>
      </w:tblGrid>
      <w:tr>
        <w:trPr/>
        <w:tc>
          <w:tcPr>
            <w:tcW w:w="3828"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Material</w:t>
            </w:r>
          </w:p>
        </w:tc>
        <w:tc>
          <w:tcPr>
            <w:tcW w:w="708"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Qtde.</w:t>
            </w:r>
          </w:p>
        </w:tc>
        <w:tc>
          <w:tcPr>
            <w:tcW w:w="1560"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Preço unitário</w:t>
            </w:r>
          </w:p>
        </w:tc>
        <w:tc>
          <w:tcPr>
            <w:tcW w:w="1417"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Preço total</w:t>
            </w:r>
          </w:p>
        </w:tc>
        <w:tc>
          <w:tcPr>
            <w:tcW w:w="1552" w:type="dxa"/>
            <w:tcBorders/>
            <w:shd w:color="auto" w:fill="D9D9D9" w:themeFill="background1" w:themeFillShade="d9" w:val="clear"/>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Fonte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Notebook*</w:t>
            </w:r>
          </w:p>
        </w:tc>
        <w:tc>
          <w:tcPr>
            <w:tcW w:w="70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R$ 3.500,00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R$ 3.500,00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Projetor multimídia*</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R$ 4.000,00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R$ 4.000,00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Tela de projeção*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R$ 650,00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R$ 650,00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Câmera de vídeo*</w:t>
            </w:r>
          </w:p>
        </w:tc>
        <w:tc>
          <w:tcPr>
            <w:tcW w:w="70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R$ 810,00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R$ 810,00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Microfone*</w:t>
            </w:r>
          </w:p>
        </w:tc>
        <w:tc>
          <w:tcPr>
            <w:tcW w:w="708"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R$ 375,00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R$ 375,00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kern w:val="0"/>
                <w:sz w:val="20"/>
                <w:szCs w:val="20"/>
                <w:lang w:val="pt-BR" w:eastAsia="pt-BR" w:bidi="ar-SA"/>
              </w:rPr>
              <w:t>Folhas de ofício (pacote 500 folhas)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2</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R$ 50,00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bookmarkStart w:id="9" w:name="_Hlk205028640"/>
            <w:r>
              <w:rPr>
                <w:rFonts w:eastAsia="Times New Roman" w:cs="Times New Roman" w:ascii="Times New Roman" w:hAnsi="Times New Roman"/>
                <w:bCs/>
                <w:kern w:val="0"/>
                <w:sz w:val="20"/>
                <w:szCs w:val="20"/>
                <w:lang w:val="pt-BR" w:eastAsia="pt-BR" w:bidi="ar-SA"/>
              </w:rPr>
              <w:t>IFSC</w:t>
            </w:r>
            <w:bookmarkEnd w:id="9"/>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Impressora*</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R$ 3.420,00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R$ 3.420,00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Toner de impressão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R$ 360,00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R$ 360,00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Folhetos de divulgação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5000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R$ 200,00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Pastas de papel</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R$ 11,00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R$ 330,00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Canetas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R$ 60,00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Blocos de anotação (25 folhas)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R$ 2,00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R$ 60,00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bookmarkStart w:id="10" w:name="_Hlk205028626"/>
            <w:r>
              <w:rPr>
                <w:rFonts w:eastAsia="Times New Roman" w:cs="Times New Roman" w:ascii="Times New Roman" w:hAnsi="Times New Roman"/>
                <w:bCs/>
                <w:kern w:val="0"/>
                <w:sz w:val="20"/>
                <w:szCs w:val="20"/>
                <w:lang w:val="pt-BR" w:eastAsia="pt-BR" w:bidi="ar-SA"/>
              </w:rPr>
              <w:t>IFSC</w:t>
            </w:r>
            <w:bookmarkEnd w:id="10"/>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Taças de degustação*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100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R$ 45,00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R$ 4.500,00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Vinhos de mesa (750 mL. 3 tipos, média)</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12</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R$ 90,00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R$ 1.080,00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Vinho Espumante (750 mL)</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4</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R$ 110,00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R$ 440,00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Vinho Frisante (750 mL)</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4</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R$ 45,00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R$ 180,00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Serviço de lanche (30 pessoas)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R$ 50,00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R$ 1.500,00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Serviço de banquete (30 pessoas)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R$ 70,00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R$ 2.100,00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Progoethe</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Transporte de participantes (30 pessoas)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30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R$ 11,00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R$ 330,00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bookmarkStart w:id="11" w:name="_Hlk205028715"/>
            <w:r>
              <w:rPr>
                <w:rFonts w:eastAsia="Times New Roman" w:cs="Times New Roman" w:ascii="Times New Roman" w:hAnsi="Times New Roman"/>
                <w:bCs/>
                <w:kern w:val="0"/>
                <w:sz w:val="20"/>
                <w:szCs w:val="20"/>
                <w:lang w:val="pt-BR" w:eastAsia="pt-BR" w:bidi="ar-SA"/>
              </w:rPr>
              <w:t>Progoethe</w:t>
            </w:r>
            <w:bookmarkEnd w:id="11"/>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Veículo de passeio*</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R$ 100.000,00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R$ 100.000,00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Gasolina (L, 3 viagens de 600 km)</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180</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R$ 6,70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R$ 1.206,00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382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Diárias (2,5 diárias com adicional de deslocamento, 3 pessoas, 3 viagens de 3 dias)</w:t>
            </w:r>
          </w:p>
        </w:tc>
        <w:tc>
          <w:tcPr>
            <w:tcW w:w="708"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9</w:t>
            </w:r>
          </w:p>
        </w:tc>
        <w:tc>
          <w:tcPr>
            <w:tcW w:w="1560"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R$ 932,50</w:t>
            </w:r>
          </w:p>
        </w:tc>
        <w:tc>
          <w:tcPr>
            <w:tcW w:w="1417" w:type="dxa"/>
            <w:tcBorders/>
            <w:vAlign w:val="center"/>
          </w:tcPr>
          <w:p>
            <w:pPr>
              <w:pStyle w:val="Normal"/>
              <w:widowControl w:val="false"/>
              <w:suppressAutoHyphens w:val="true"/>
              <w:spacing w:before="0" w:after="0"/>
              <w:jc w:val="center"/>
              <w:rPr>
                <w:rFonts w:ascii="Times New Roman" w:hAnsi="Times New Roman" w:cs="Times New Roman"/>
                <w:sz w:val="20"/>
                <w:szCs w:val="20"/>
              </w:rPr>
            </w:pPr>
            <w:r>
              <w:rPr>
                <w:rFonts w:eastAsia="Times New Roman" w:cs="Times New Roman" w:ascii="Times New Roman" w:hAnsi="Times New Roman"/>
                <w:bCs/>
                <w:kern w:val="0"/>
                <w:sz w:val="20"/>
                <w:szCs w:val="20"/>
                <w:lang w:val="pt-BR" w:eastAsia="pt-BR" w:bidi="ar-SA"/>
              </w:rPr>
              <w:t xml:space="preserve">R$ </w:t>
            </w:r>
            <w:r>
              <w:rPr>
                <w:rFonts w:eastAsia="Times New Roman" w:cs="Times New Roman" w:ascii="Times New Roman" w:hAnsi="Times New Roman"/>
                <w:kern w:val="0"/>
                <w:sz w:val="20"/>
                <w:szCs w:val="20"/>
                <w:lang w:val="pt-BR" w:eastAsia="pt-BR" w:bidi="ar-SA"/>
              </w:rPr>
              <w:t>8.392,50</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Cs/>
                <w:kern w:val="0"/>
                <w:sz w:val="20"/>
                <w:szCs w:val="20"/>
                <w:lang w:val="pt-BR" w:eastAsia="pt-BR" w:bidi="ar-SA"/>
              </w:rPr>
              <w:t>IFSC</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sz w:val="20"/>
                <w:szCs w:val="20"/>
              </w:rPr>
            </w:pPr>
            <w:r>
              <w:rPr>
                <w:rFonts w:eastAsia="Times New Roman" w:cs="Times New Roman" w:ascii="Times New Roman" w:hAnsi="Times New Roman"/>
                <w:b/>
                <w:kern w:val="0"/>
                <w:sz w:val="20"/>
                <w:szCs w:val="20"/>
                <w:lang w:val="pt-BR" w:eastAsia="pt-BR" w:bidi="ar-SA"/>
              </w:rPr>
              <w:t>Valor de materiais consumíveis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Cs/>
                <w:sz w:val="20"/>
                <w:szCs w:val="20"/>
              </w:rPr>
            </w:pPr>
            <w:r>
              <w:rPr>
                <w:rFonts w:eastAsia="Times New Roman" w:cs="Times New Roman" w:ascii="Times New Roman" w:hAnsi="Times New Roman"/>
                <w:b/>
                <w:kern w:val="0"/>
                <w:sz w:val="20"/>
                <w:szCs w:val="20"/>
                <w:lang w:val="pt-BR" w:eastAsia="pt-BR" w:bidi="ar-SA"/>
              </w:rPr>
              <w:t>R$ 20.788,50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materiais permanentes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R$ 112.755,00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IFSC</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R$ 123.213,50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IFSC, exceto já adquiridos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R$ 10.458,50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ProGoethe</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R$ 10.330,00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de contrapartida ProGoethe, exceto já adquiridos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R$ 5.830,00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total estimado para execução da ação</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R$ 133.543,50</w:t>
            </w:r>
          </w:p>
        </w:tc>
      </w:tr>
      <w:tr>
        <w:trPr/>
        <w:tc>
          <w:tcPr>
            <w:tcW w:w="7513" w:type="dxa"/>
            <w:gridSpan w:val="4"/>
            <w:tcBorders/>
            <w:vAlign w:val="center"/>
          </w:tcPr>
          <w:p>
            <w:pPr>
              <w:pStyle w:val="Normal"/>
              <w:widowControl w:val="false"/>
              <w:suppressAutoHyphens w:val="true"/>
              <w:spacing w:before="0" w:after="0"/>
              <w:jc w:val="right"/>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Valor total estimado para execução da ação, exceto já adquiridos</w:t>
            </w:r>
          </w:p>
        </w:tc>
        <w:tc>
          <w:tcPr>
            <w:tcW w:w="1552" w:type="dxa"/>
            <w:tcBorders/>
            <w:vAlign w:val="center"/>
          </w:tcPr>
          <w:p>
            <w:pPr>
              <w:pStyle w:val="Normal"/>
              <w:widowControl w:val="false"/>
              <w:suppressAutoHyphens w:val="true"/>
              <w:spacing w:before="0" w:after="0"/>
              <w:jc w:val="center"/>
              <w:rPr>
                <w:rFonts w:ascii="Times New Roman" w:hAnsi="Times New Roman" w:cs="Times New Roman"/>
                <w:b/>
                <w:b/>
                <w:sz w:val="20"/>
                <w:szCs w:val="20"/>
              </w:rPr>
            </w:pPr>
            <w:r>
              <w:rPr>
                <w:rFonts w:eastAsia="Times New Roman" w:cs="Times New Roman" w:ascii="Times New Roman" w:hAnsi="Times New Roman"/>
                <w:b/>
                <w:kern w:val="0"/>
                <w:sz w:val="20"/>
                <w:szCs w:val="20"/>
                <w:lang w:val="pt-BR" w:eastAsia="pt-BR" w:bidi="ar-SA"/>
              </w:rPr>
              <w:t>R$ 16.288,50</w:t>
            </w:r>
          </w:p>
        </w:tc>
      </w:tr>
    </w:tbl>
    <w:p>
      <w:pPr>
        <w:pStyle w:val="Normal"/>
        <w:jc w:val="both"/>
        <w:rPr>
          <w:rFonts w:ascii="Times New Roman" w:hAnsi="Times New Roman" w:cs="Times New Roman"/>
          <w:sz w:val="20"/>
          <w:szCs w:val="20"/>
        </w:rPr>
      </w:pPr>
      <w:r>
        <w:rPr>
          <w:rFonts w:cs="Times New Roman" w:ascii="Times New Roman" w:hAnsi="Times New Roman"/>
          <w:sz w:val="20"/>
          <w:szCs w:val="20"/>
        </w:rPr>
        <w:t>Qtde.: quantidade; *Itens já adquiridos.</w:t>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
          <w:b/>
        </w:rPr>
      </w:pPr>
      <w:r>
        <w:rPr>
          <w:rFonts w:cs="Times New Roman" w:ascii="Times New Roman" w:hAnsi="Times New Roman"/>
          <w:b/>
        </w:rPr>
        <w:t>REFERÊNCIAS</w:t>
      </w:r>
    </w:p>
    <w:p>
      <w:pPr>
        <w:pStyle w:val="Normal"/>
        <w:rPr>
          <w:rFonts w:ascii="Times New Roman" w:hAnsi="Times New Roman" w:cs="Times New Roman"/>
        </w:rPr>
      </w:pPr>
      <w:r>
        <w:rPr>
          <w:rFonts w:cs="Times New Roman" w:ascii="Times New Roman" w:hAnsi="Times New Roman"/>
        </w:rPr>
        <w:t xml:space="preserve">ASSOCIAÇÃO DOS PRODUTORES DA UVA E DO VINHO GOETHE. </w:t>
      </w:r>
      <w:r>
        <w:rPr>
          <w:rFonts w:cs="Times New Roman" w:ascii="Times New Roman" w:hAnsi="Times New Roman"/>
          <w:b/>
          <w:bCs/>
        </w:rPr>
        <w:t>Histórico PROGOETHE</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https://web.archive.org/web/20180815180851/http://progoethe.com.br/historico.php?id=1. Acesso em: 28 jul. 2025 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ASSOCIAÇÃO DOS PRODUTORES DA UVA E DO VINHO GOETHE. </w:t>
      </w:r>
      <w:r>
        <w:rPr>
          <w:rFonts w:cs="Times New Roman" w:ascii="Times New Roman" w:hAnsi="Times New Roman"/>
          <w:b/>
          <w:bCs/>
        </w:rPr>
        <w:t>IGP</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https://web.archive.org/web/20180815154452/http://progoethe.com.br/igp.php?id=1. Acesso em: 28 jul. 2025 b.</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CALIARI, Vinícius; ROSIER, Jean Pierre; BORDIGNON-LUIZ, Marilde Terezinha. Vinhos Espumantes: Métodos de Elaboração. </w:t>
      </w:r>
      <w:r>
        <w:rPr>
          <w:rFonts w:cs="Times New Roman" w:ascii="Times New Roman" w:hAnsi="Times New Roman"/>
          <w:b/>
          <w:bCs/>
        </w:rPr>
        <w:t>Evidência</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13, n. 1, p. 65–77, 2013.</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CAMARGO, Umberto Almeida; TONIETTO, Jorge; HOFFMANN, Alexandre. </w:t>
      </w:r>
      <w:r>
        <w:rPr>
          <w:rFonts w:cs="Times New Roman" w:ascii="Times New Roman" w:hAnsi="Times New Roman"/>
          <w:b/>
          <w:bCs/>
        </w:rPr>
        <w:t>Progressos na Viticultura BrasileiraRev. Bras. Frutic., Jaboticabal-SP</w:t>
      </w:r>
      <w:r>
        <w:rPr>
          <w:rFonts w:cs="Times New Roman" w:ascii="Times New Roman" w:hAnsi="Times New Roman"/>
        </w:rPr>
        <w:t>. [</w:t>
      </w:r>
      <w:r>
        <w:rPr>
          <w:rFonts w:cs="Times New Roman" w:ascii="Times New Roman" w:hAnsi="Times New Roman"/>
          <w:i/>
          <w:iCs/>
        </w:rPr>
        <w:t>S. l.: s. n.</w:t>
      </w:r>
      <w:r>
        <w:rPr>
          <w:rFonts w:cs="Times New Roman" w:ascii="Times New Roman" w:hAnsi="Times New Roman"/>
        </w:rPr>
        <w:t>], 2011.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CARLSEN, Jack; DOWLING, Ross. Regional Wine Tourism: A Plan of Development for Western Australia. </w:t>
      </w:r>
      <w:r>
        <w:rPr>
          <w:rFonts w:cs="Times New Roman" w:ascii="Times New Roman" w:hAnsi="Times New Roman"/>
          <w:b/>
          <w:bCs/>
        </w:rPr>
        <w:t>Tourism Recreation Research</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26, n. 2, p. 45–52, 2001.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DIRETORIA DE TURISMO DE URUSSANGA. </w:t>
      </w:r>
      <w:r>
        <w:rPr>
          <w:rFonts w:cs="Times New Roman" w:ascii="Times New Roman" w:hAnsi="Times New Roman"/>
          <w:b/>
          <w:bCs/>
        </w:rPr>
        <w:t>Urussanga</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https://turismo.urussanga.sc.gov.br/pagina-296-2/. Acesso em: 29 jul. 2025.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FREITAS, Cinthia Andruchak. Tradição e futuro dentro da taça. </w:t>
      </w:r>
      <w:r>
        <w:rPr>
          <w:rFonts w:cs="Times New Roman" w:ascii="Times New Roman" w:hAnsi="Times New Roman"/>
          <w:b/>
          <w:bCs/>
        </w:rPr>
        <w:t>Agropecuária Catarinense</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25, n. 2, p. 20–25, 2012.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BRASILEIRO DE GEOGRAFIA E ESTATÍSTICA. </w:t>
      </w:r>
      <w:r>
        <w:rPr>
          <w:rFonts w:cs="Times New Roman" w:ascii="Times New Roman" w:hAnsi="Times New Roman"/>
          <w:b/>
          <w:bCs/>
        </w:rPr>
        <w:t>Cidades e Estados do Brasil</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w:t>
      </w:r>
      <w:r>
        <w:rPr>
          <w:rFonts w:cs="Times New Roman" w:ascii="Times New Roman" w:hAnsi="Times New Roman"/>
          <w:i/>
          <w:iCs/>
        </w:rPr>
        <w:t>s. d.</w:t>
      </w:r>
      <w:r>
        <w:rPr>
          <w:rFonts w:cs="Times New Roman" w:ascii="Times New Roman" w:hAnsi="Times New Roman"/>
        </w:rPr>
        <w:t>]. Disponível em: https://cidades.ibge.gov.br/. Acesso em: 29 jul. 2025.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DO PATRIMÔNIO HISTÓRICO E ARTÍSTICO NACIONAL. </w:t>
      </w:r>
      <w:r>
        <w:rPr>
          <w:rFonts w:cs="Times New Roman" w:ascii="Times New Roman" w:hAnsi="Times New Roman"/>
          <w:b/>
          <w:bCs/>
        </w:rPr>
        <w:t>Guia brasileiro de sinalização turística</w:t>
      </w:r>
      <w:r>
        <w:rPr>
          <w:rFonts w:cs="Times New Roman" w:ascii="Times New Roman" w:hAnsi="Times New Roman"/>
        </w:rPr>
        <w:t>. 2. ed. Brasília: IPHAN, 2021.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NACIONAL DA PROPRIEDADE INDUSTRIAL. Indicação Geográfica: Vales da Uva Goethe. </w:t>
      </w:r>
      <w:r>
        <w:rPr>
          <w:rFonts w:cs="Times New Roman" w:ascii="Times New Roman" w:hAnsi="Times New Roman"/>
          <w:b/>
          <w:bCs/>
        </w:rPr>
        <w:t>Revista da Propriedade Industrial</w:t>
      </w:r>
      <w:r>
        <w:rPr>
          <w:rFonts w:cs="Times New Roman" w:ascii="Times New Roman" w:hAnsi="Times New Roman"/>
        </w:rPr>
        <w:t>: Brasil, n. IG201009, 14 fev. 2012.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INSTITUTO NACIONAL DA PROPRIEDADE INDUSTRIAL. Indicação Geográfica: Vales da Uva Goethe. </w:t>
      </w:r>
      <w:r>
        <w:rPr>
          <w:rFonts w:cs="Times New Roman" w:ascii="Times New Roman" w:hAnsi="Times New Roman"/>
          <w:b/>
          <w:bCs/>
        </w:rPr>
        <w:t>Revista da Propriedade Industrial</w:t>
      </w:r>
      <w:r>
        <w:rPr>
          <w:rFonts w:cs="Times New Roman" w:ascii="Times New Roman" w:hAnsi="Times New Roman"/>
        </w:rPr>
        <w:t>: Brasil, n. IG201009, 10 jun. 2025.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LARROYD, Keslin Antunes. </w:t>
      </w:r>
      <w:r>
        <w:rPr>
          <w:rFonts w:cs="Times New Roman" w:ascii="Times New Roman" w:hAnsi="Times New Roman"/>
          <w:b/>
          <w:bCs/>
        </w:rPr>
        <w:t>Avaliação de porta-enxertos em clones da videira cv. Goethe</w:t>
      </w:r>
      <w:r>
        <w:rPr>
          <w:rFonts w:cs="Times New Roman" w:ascii="Times New Roman" w:hAnsi="Times New Roman"/>
        </w:rPr>
        <w:t>. 2008. 62 f. Monografia (Graduação em Engenharia Agronômica) - Universidade Federal de Santa Catarina, Florianópolis, 2008.</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LÜDKE, Menga; ANDRÉ, Marli E.D.A. </w:t>
      </w:r>
      <w:r>
        <w:rPr>
          <w:rFonts w:cs="Times New Roman" w:ascii="Times New Roman" w:hAnsi="Times New Roman"/>
          <w:b/>
          <w:bCs/>
        </w:rPr>
        <w:t>Pesquisa em educação: abordagens qualitativas</w:t>
      </w:r>
      <w:r>
        <w:rPr>
          <w:rFonts w:cs="Times New Roman" w:ascii="Times New Roman" w:hAnsi="Times New Roman"/>
        </w:rPr>
        <w:t>. São Paulo: E.P.U., 2012.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MINAYO, Maria Cecília de Souza. Ciência, Técnica e Arte: O Desafio da Pesquisa Social. </w:t>
      </w:r>
      <w:r>
        <w:rPr>
          <w:rFonts w:cs="Times New Roman" w:ascii="Times New Roman" w:hAnsi="Times New Roman"/>
          <w:i/>
          <w:iCs/>
        </w:rPr>
        <w:t>In</w:t>
      </w:r>
      <w:r>
        <w:rPr>
          <w:rFonts w:cs="Times New Roman" w:ascii="Times New Roman" w:hAnsi="Times New Roman"/>
        </w:rPr>
        <w:t xml:space="preserve">: MINAYO, Maria Cecília de Souza (org.). </w:t>
      </w:r>
      <w:r>
        <w:rPr>
          <w:rFonts w:cs="Times New Roman" w:ascii="Times New Roman" w:hAnsi="Times New Roman"/>
          <w:b/>
          <w:bCs/>
        </w:rPr>
        <w:t>Pesquisa Social. Teoria, método e criatividade</w:t>
      </w:r>
      <w:r>
        <w:rPr>
          <w:rFonts w:cs="Times New Roman" w:ascii="Times New Roman" w:hAnsi="Times New Roman"/>
        </w:rPr>
        <w:t>. 18. ed. Petrópolis: Vozes, 2001. p. 9–31.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Cartilha Parlamentar 2024-2025</w:t>
      </w:r>
      <w:r>
        <w:rPr>
          <w:rFonts w:cs="Times New Roman" w:ascii="Times New Roman" w:hAnsi="Times New Roman"/>
        </w:rPr>
        <w:t>. Brasília: MTur, 2024.</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Diretrizes</w:t>
      </w:r>
      <w:r>
        <w:rPr>
          <w:rFonts w:cs="Times New Roman" w:ascii="Times New Roman" w:hAnsi="Times New Roman"/>
        </w:rPr>
        <w:t>. Brasília: Coordenação Geral de Regionalização, 2013.</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Roteiros do Brasil: Introdução à Regionalização do Turismo</w:t>
      </w:r>
      <w:r>
        <w:rPr>
          <w:rFonts w:cs="Times New Roman" w:ascii="Times New Roman" w:hAnsi="Times New Roman"/>
        </w:rPr>
        <w:t>. Brasília: Coordenação Geral de Regionalização, 2007a. v. 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Roteiros do Brasil: Módulo Operacional 2 - Mobilização</w:t>
      </w:r>
      <w:r>
        <w:rPr>
          <w:rFonts w:cs="Times New Roman" w:ascii="Times New Roman" w:hAnsi="Times New Roman"/>
        </w:rPr>
        <w:t>. 1. ed. Brasília: Coordenação Geral de Regionalização, 2007b. v. 2.</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Turismo Acessível: Introdução a uma Viagem de Inclusão</w:t>
      </w:r>
      <w:r>
        <w:rPr>
          <w:rFonts w:cs="Times New Roman" w:ascii="Times New Roman" w:hAnsi="Times New Roman"/>
        </w:rPr>
        <w:t>. Brasília: MTur, 2009. v. 1.</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Turismo de Base Comunitária: construção de indicadores para o alcance da agenda 2030 no Brasil</w:t>
      </w:r>
      <w:r>
        <w:rPr>
          <w:rFonts w:cs="Times New Roman" w:ascii="Times New Roman" w:hAnsi="Times New Roman"/>
        </w:rPr>
        <w:t>. Natal: Editora da UFRN, 2023.</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MITCHELL, Richard; HALL, Colin Michael; MCINTOSH, Alison. Wine tourism and consumer behaviour. </w:t>
      </w:r>
      <w:r>
        <w:rPr>
          <w:rFonts w:cs="Times New Roman" w:ascii="Times New Roman" w:hAnsi="Times New Roman"/>
          <w:i/>
          <w:iCs/>
        </w:rPr>
        <w:t>In</w:t>
      </w:r>
      <w:r>
        <w:rPr>
          <w:rFonts w:cs="Times New Roman" w:ascii="Times New Roman" w:hAnsi="Times New Roman"/>
        </w:rPr>
        <w:t xml:space="preserve">: HALL, Colin Michael </w:t>
      </w:r>
      <w:r>
        <w:rPr>
          <w:rFonts w:cs="Times New Roman" w:ascii="Times New Roman" w:hAnsi="Times New Roman"/>
          <w:i/>
          <w:iCs/>
        </w:rPr>
        <w:t>et al.</w:t>
      </w:r>
      <w:r>
        <w:rPr>
          <w:rFonts w:cs="Times New Roman" w:ascii="Times New Roman" w:hAnsi="Times New Roman"/>
        </w:rPr>
        <w:t xml:space="preserve"> (org.). </w:t>
      </w:r>
      <w:r>
        <w:rPr>
          <w:rFonts w:cs="Times New Roman" w:ascii="Times New Roman" w:hAnsi="Times New Roman"/>
          <w:b/>
          <w:bCs/>
        </w:rPr>
        <w:t>Wine tourism around the world: Development, management and markets</w:t>
      </w:r>
      <w:r>
        <w:rPr>
          <w:rFonts w:cs="Times New Roman" w:ascii="Times New Roman" w:hAnsi="Times New Roman"/>
        </w:rPr>
        <w:t>. 1. ed. Oxford: Butterworth– Heinemann, 2000. p. 115–135.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NETO, Otávio Cruz. O trabalho de campo como descoberta e criação. </w:t>
      </w:r>
      <w:r>
        <w:rPr>
          <w:rFonts w:cs="Times New Roman" w:ascii="Times New Roman" w:hAnsi="Times New Roman"/>
          <w:i/>
          <w:iCs/>
        </w:rPr>
        <w:t>In</w:t>
      </w:r>
      <w:r>
        <w:rPr>
          <w:rFonts w:cs="Times New Roman" w:ascii="Times New Roman" w:hAnsi="Times New Roman"/>
        </w:rPr>
        <w:t xml:space="preserve">: MINAYO, Maria Cecília de Souza (org.). </w:t>
      </w:r>
      <w:r>
        <w:rPr>
          <w:rFonts w:cs="Times New Roman" w:ascii="Times New Roman" w:hAnsi="Times New Roman"/>
          <w:b/>
          <w:bCs/>
        </w:rPr>
        <w:t>Pesquisa Social. Teoria, método e criatividade</w:t>
      </w:r>
      <w:r>
        <w:rPr>
          <w:rFonts w:cs="Times New Roman" w:ascii="Times New Roman" w:hAnsi="Times New Roman"/>
        </w:rPr>
        <w:t>. 18. ed. Petrópolis: Vozes, 2001. p. 51–67.</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REBOLLAR, Paula May </w:t>
      </w:r>
      <w:r>
        <w:rPr>
          <w:rFonts w:cs="Times New Roman" w:ascii="Times New Roman" w:hAnsi="Times New Roman"/>
          <w:i/>
          <w:iCs/>
        </w:rPr>
        <w:t>et al.</w:t>
      </w:r>
      <w:r>
        <w:rPr>
          <w:rFonts w:cs="Times New Roman" w:ascii="Times New Roman" w:hAnsi="Times New Roman"/>
        </w:rPr>
        <w:t xml:space="preserve"> </w:t>
      </w:r>
      <w:r>
        <w:rPr>
          <w:rFonts w:cs="Times New Roman" w:ascii="Times New Roman" w:hAnsi="Times New Roman"/>
          <w:b/>
          <w:bCs/>
        </w:rPr>
        <w:t>Vales da Uva Goethe</w:t>
      </w:r>
      <w:r>
        <w:rPr>
          <w:rFonts w:cs="Times New Roman" w:ascii="Times New Roman" w:hAnsi="Times New Roman"/>
        </w:rPr>
        <w:t>. Urussanga: Associação dos Produtores da Uva e do Vinho Goethe, 2007.</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SANTA CATARINA. Lei N° 16.722, de 8 de outubro de 2015. </w:t>
      </w:r>
      <w:r>
        <w:rPr>
          <w:rFonts w:cs="Times New Roman" w:ascii="Times New Roman" w:hAnsi="Times New Roman"/>
          <w:b/>
          <w:bCs/>
        </w:rPr>
        <w:t>Diário Oficial Estado de Santa Catarina</w:t>
      </w:r>
      <w:r>
        <w:rPr>
          <w:rFonts w:cs="Times New Roman" w:ascii="Times New Roman" w:hAnsi="Times New Roman"/>
        </w:rPr>
        <w:t>: Brasil, n. Lei N° 16.722, de 8 de outubro de 2015, 8 out. 2015.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SCHUCK, Mariane Ruzza </w:t>
      </w:r>
      <w:r>
        <w:rPr>
          <w:rFonts w:cs="Times New Roman" w:ascii="Times New Roman" w:hAnsi="Times New Roman"/>
          <w:i/>
          <w:iCs/>
        </w:rPr>
        <w:t>et al.</w:t>
      </w:r>
      <w:r>
        <w:rPr>
          <w:rFonts w:cs="Times New Roman" w:ascii="Times New Roman" w:hAnsi="Times New Roman"/>
        </w:rPr>
        <w:t xml:space="preserve"> Identificação molecular da uva “Goethe” de Urussanga-SC por marcadores microssatélites. </w:t>
      </w:r>
      <w:r>
        <w:rPr>
          <w:rFonts w:cs="Times New Roman" w:ascii="Times New Roman" w:hAnsi="Times New Roman"/>
          <w:b/>
          <w:bCs/>
        </w:rPr>
        <w:t>Revista Brasileira de Fruticultura</w:t>
      </w:r>
      <w:r>
        <w:rPr>
          <w:rFonts w:cs="Times New Roman" w:ascii="Times New Roman" w:hAnsi="Times New Roman"/>
        </w:rPr>
        <w:t>, [</w:t>
      </w:r>
      <w:r>
        <w:rPr>
          <w:rFonts w:cs="Times New Roman" w:ascii="Times New Roman" w:hAnsi="Times New Roman"/>
          <w:i/>
          <w:iCs/>
        </w:rPr>
        <w:t>s. l.</w:t>
      </w:r>
      <w:r>
        <w:rPr>
          <w:rFonts w:cs="Times New Roman" w:ascii="Times New Roman" w:hAnsi="Times New Roman"/>
        </w:rPr>
        <w:t>], v. 32, n. 3, p. 825–831, 2010. Disponível em: Acesso em: 28 jul. 2025.</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SILVEIRA, Denise Tolfo; CÓRDOVA, Fernanda Peixoto. A pesquisa científica. </w:t>
      </w:r>
      <w:r>
        <w:rPr>
          <w:rFonts w:cs="Times New Roman" w:ascii="Times New Roman" w:hAnsi="Times New Roman"/>
          <w:i/>
          <w:iCs/>
        </w:rPr>
        <w:t>In</w:t>
      </w:r>
      <w:r>
        <w:rPr>
          <w:rFonts w:cs="Times New Roman" w:ascii="Times New Roman" w:hAnsi="Times New Roman"/>
        </w:rPr>
        <w:t xml:space="preserve">: GERHARDT, Tatiana Engel; SILVEIRA, Denise Tolfo (org.). </w:t>
      </w:r>
      <w:r>
        <w:rPr>
          <w:rFonts w:cs="Times New Roman" w:ascii="Times New Roman" w:hAnsi="Times New Roman"/>
          <w:b/>
          <w:bCs/>
        </w:rPr>
        <w:t>Métodos de pesquisa</w:t>
      </w:r>
      <w:r>
        <w:rPr>
          <w:rFonts w:cs="Times New Roman" w:ascii="Times New Roman" w:hAnsi="Times New Roman"/>
        </w:rPr>
        <w:t>. Porto Alegre: Editora da UFRGS, 2009. p. 31–42.</w:t>
      </w:r>
      <w:bookmarkEnd w:id="8"/>
    </w:p>
    <w:p>
      <w:pPr>
        <w:pStyle w:val="Normal"/>
        <w:rPr>
          <w:rFonts w:ascii="Times New Roman" w:hAnsi="Times New Roman" w:cs="Times New Roman"/>
        </w:rPr>
      </w:pPr>
      <w:r>
        <w:rPr>
          <w:rFonts w:cs="Times New Roman" w:ascii="Times New Roman" w:hAnsi="Times New Roman"/>
        </w:rPr>
      </w:r>
      <w:r>
        <w:br w:type="page"/>
      </w:r>
    </w:p>
    <w:p>
      <w:pPr>
        <w:pStyle w:val="Normal"/>
        <w:jc w:val="both"/>
        <w:rPr>
          <w:rFonts w:ascii="Times New Roman" w:hAnsi="Times New Roman" w:cs="Times New Roman"/>
          <w:b/>
          <w:b/>
        </w:rPr>
      </w:pPr>
      <w:r>
        <w:rPr>
          <w:rFonts w:cs="Times New Roman" w:ascii="Times New Roman" w:hAnsi="Times New Roman"/>
          <w:b/>
        </w:rPr>
        <w:t>APÊNDICE A - PROCEDIMENTOS OPERACIONAIS DETALHADOS DO PROJETO</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maio</w:t>
      </w:r>
      <w:r>
        <w:rPr>
          <w:rFonts w:cs="Times New Roman" w:ascii="Times New Roman" w:hAnsi="Times New Roman"/>
        </w:rPr>
        <w:t>, considerando-se superado o estudo teórico inicial generalista, já empreendido no preparo de proposta para submissão ao Edital, será realizada a fase de estudo teórico direcionado. Serão elaborados materiais de referência em sinalização turística a partir do Guia brasileiro de sinalização turística do Instituto do Patrimônio Histórico e Artístico Nacional (2021) (d, g), em criação de roteiros e rotas turísticos a partir das Diretrizes do Programa de Regionalização do Turismo (Ministério do Turismo, 2013) (b, c), em estrutura dos estabelecimentos turísticos adicionada do viés inclusivo segundo as diretrizes do (Ministério do Turismo, 2009), e em princípios de hospitalidade, turismo de base comunitária, recepção e atendimento ao cliente voltado ao Enoturismo, incluindo conhecimento, diferenciação e promoção dos diversos estilos de vinhos ‘Goethe’ elaborados na região, apoiado em autores de referência nas diversas áreas (a).</w:t>
      </w:r>
    </w:p>
    <w:p>
      <w:pPr>
        <w:pStyle w:val="Normal"/>
        <w:ind w:firstLine="720"/>
        <w:jc w:val="both"/>
        <w:rPr>
          <w:rFonts w:ascii="Times New Roman" w:hAnsi="Times New Roman" w:cs="Times New Roman"/>
        </w:rPr>
      </w:pPr>
      <w:r>
        <w:rPr>
          <w:rFonts w:cs="Times New Roman" w:ascii="Times New Roman" w:hAnsi="Times New Roman"/>
        </w:rPr>
        <w:t>O projeto proporá um material especial, utilizando aspectos da vida e obra de Johann Wolfgang von Goethe como fonte de arte e cultura, nos pontos onde esta toca a singularidade do vinho ‘Goethe’, agregando valor ao Enoturismo, e não se restringindo apenas à teoria, mas a possibilidades de eventos como saraus literários, e mesmo a utilização de trechos adequados no próprio material de divulgação e na identidade visual da DO (b, c, e). Também serão levantados eventos e atividades turísticas da região que tenham ligação ao Enoturismo, pensando na articulação com os objetivos do projeto, bem como considerando a criação de outras experiências de caráter inédito, complementares às já existentes, sobretudo com viés mais contemporâneo e menos tradicional, como forma de atrair diferentes públicos para a região, em ações como piqueniques, sunsets, lounges e wine gardens (e).</w:t>
      </w:r>
    </w:p>
    <w:p>
      <w:pPr>
        <w:pStyle w:val="Normal"/>
        <w:ind w:firstLine="720"/>
        <w:jc w:val="both"/>
        <w:rPr>
          <w:rFonts w:ascii="Times New Roman" w:hAnsi="Times New Roman" w:cs="Times New Roman"/>
        </w:rPr>
      </w:pPr>
      <w:r>
        <w:rPr>
          <w:rFonts w:cs="Times New Roman" w:ascii="Times New Roman" w:hAnsi="Times New Roman"/>
        </w:rPr>
        <w:t xml:space="preserve">Com o aporte teórico adequado e o material de base consolidado, começam as visitas a campo. Será realizada visita in loco à região dos Vales da Uva Goethe em </w:t>
      </w:r>
      <w:r>
        <w:rPr>
          <w:rFonts w:cs="Times New Roman" w:ascii="Times New Roman" w:hAnsi="Times New Roman"/>
          <w:b/>
          <w:bCs/>
        </w:rPr>
        <w:t>junho</w:t>
      </w:r>
      <w:r>
        <w:rPr>
          <w:rFonts w:cs="Times New Roman" w:ascii="Times New Roman" w:hAnsi="Times New Roman"/>
        </w:rPr>
        <w:t>, com duração de três dias, para um primeiro diagnóstico da situação efetiva de funcionamento. Nesta etapa, serão prospectadas pessoas participantes em potencial da Capacitação (a), as condições de implantação de rota turística da DO a partir de Florianópolis e até as cidades limítrofes da IG e a condição local para implantação e desenvolvimento de roteiros turísticos (b, c), a estrutura e a qualidade do serviço público de informações turísticas e da recepção nas vinícolas e demais estabelecimentos envolvidos, como restaurantes e hotéis (b, d, g), e também o ponto de vista da população local em relação ao turismo atual e às perspectivas de maior exploração turística. Também nessa visita serão articuladas reuniões com os responsáveis pelos órgãos de turismo das prefeituras dos principais municípios envolvidos, sensibilizando para a necessidade de promover o Enoturismo e diagnosticando a situação atual de interação e investimento do poder público local, bem como buscando elementos da identidade visual da IG, sempre usados no projeto de sinalização a ser desenvolvido (f).</w:t>
      </w:r>
    </w:p>
    <w:p>
      <w:pPr>
        <w:pStyle w:val="Normal"/>
        <w:ind w:firstLine="720"/>
        <w:jc w:val="both"/>
        <w:rPr>
          <w:rFonts w:ascii="Times New Roman" w:hAnsi="Times New Roman" w:cs="Times New Roman"/>
        </w:rPr>
      </w:pPr>
      <w:r>
        <w:rPr>
          <w:rFonts w:cs="Times New Roman" w:ascii="Times New Roman" w:hAnsi="Times New Roman"/>
        </w:rPr>
        <w:t xml:space="preserve">O mês de </w:t>
      </w:r>
      <w:r>
        <w:rPr>
          <w:rFonts w:cs="Times New Roman" w:ascii="Times New Roman" w:hAnsi="Times New Roman"/>
          <w:b/>
          <w:bCs/>
        </w:rPr>
        <w:t>julho</w:t>
      </w:r>
      <w:r>
        <w:rPr>
          <w:rFonts w:cs="Times New Roman" w:ascii="Times New Roman" w:hAnsi="Times New Roman"/>
        </w:rPr>
        <w:t xml:space="preserve"> será inteiramente dedicado à síntese dos materiais específicos cuja necessidade tenha sido sentida na visita à região, como sinalização, roteiros e rotas, propostas de recepção turística nas empresas, cartilhas, folders e materiais didáticos, englobando, portanto, todas as alternativas de desenvolvimento, à exceção de f, a qual será trabalhada por meio dos contatos a agentes públicos, de modo a estreitar relações, obter indicações para a Capacitação e escutar as demandas que existirem. Também será consolidado o relatório de panorama da situação da população local quanto ao turismo. A meta desta etapa é a finalização de todos os trabalhos, anteriores e iniciados no período, para que estejam disponíveis à DO na próxima visita in loco. Neste momento, será inclusa a interação com os atores locais de diferentes áreas e necessidades, de modo a customizar o material às reais necessidades e a formatos efetivos de materiais, acessíveis àqueles que mais precisam, para que não seja apenas a decisão da equipe a balizar a adequação dos materiais. Este será um especial período para a prospecção e participação em editais de fomento que possam ser utilizados pelos atores locais ou mesmo pela equipe executora para ampliar o aporte financeiro e satisfazer as necessidades de apoio da DO. Será também articulada a próxima visita à região, e sobretudo, será organizada a Capacitação em Hospitalidade, Turismo de Base Comunitária Inclusivo e Enoturismo nos Vales da Uva Goethe, como passará a ser chamada.</w:t>
      </w:r>
    </w:p>
    <w:p>
      <w:pPr>
        <w:pStyle w:val="Normal"/>
        <w:ind w:firstLine="720"/>
        <w:jc w:val="both"/>
        <w:rPr>
          <w:rFonts w:ascii="Times New Roman" w:hAnsi="Times New Roman" w:cs="Times New Roman"/>
        </w:rPr>
      </w:pPr>
      <w:r>
        <w:rPr>
          <w:rFonts w:cs="Times New Roman" w:ascii="Times New Roman" w:hAnsi="Times New Roman"/>
          <w:b/>
          <w:bCs/>
        </w:rPr>
        <w:t>Agosto</w:t>
      </w:r>
      <w:r>
        <w:rPr>
          <w:rFonts w:cs="Times New Roman" w:ascii="Times New Roman" w:hAnsi="Times New Roman"/>
        </w:rPr>
        <w:t xml:space="preserve"> será um mês de visita, em três dias de trabalho condensado, com as seguintes finalidades: no primeiro e no último dia, serão avaliadas as possíveis evoluções a partir da primeira visita e das conversas anteriores nas diversas alternativas de desenvolvimento, incluindo nova reunião com gestores locais de turismo, momento de escuta sobre anseios e possíveis frentes de ação a serem incorporadas no projeto, e de trocas sobre o projeto de sinalização (a, e, f, g). No entanto, a principal atividade dessa visita será a Capacitação (a), que ocupará o segundo dia inteiro, dividida em Hospitalidade, lanche, Turismo de Base Comunitária Inclusivo, almoço livre, Enoturismo e Atendimento ao Cliente, intervalo, Degustação e argumentação de diferentes vinhos Goethe para diferentes públicos, Coquetel de encerramento com vinhos Goethe. No último dia, seguirão as visitas e diagnósticos, sobretudo com a entrega do estudo personalizado de cada propriedade que foi visitada na viagem anterior (b, c, d, g).</w:t>
      </w:r>
    </w:p>
    <w:p>
      <w:pPr>
        <w:pStyle w:val="Normal"/>
        <w:ind w:firstLine="720"/>
        <w:jc w:val="both"/>
        <w:rPr>
          <w:rFonts w:ascii="Times New Roman" w:hAnsi="Times New Roman" w:cs="Times New Roman"/>
        </w:rPr>
      </w:pPr>
      <w:r>
        <w:rPr>
          <w:rFonts w:cs="Times New Roman" w:ascii="Times New Roman" w:hAnsi="Times New Roman"/>
          <w:b/>
          <w:bCs/>
        </w:rPr>
        <w:t>Setembro</w:t>
      </w:r>
      <w:r>
        <w:rPr>
          <w:rFonts w:cs="Times New Roman" w:ascii="Times New Roman" w:hAnsi="Times New Roman"/>
        </w:rPr>
        <w:t xml:space="preserve"> terá como atividade principal o monitoramento das ações postas em prática, sobretudo de participantes da Capacitação. Os participantes da capacitação disporão de plantão remoto semanal de atendimento, alternando entre manhã e tarde entre semanas para possibilitar maior participação (a). Não haverá plano de ação individual, cada um fará o uso dos conhecimentos conforme necessitar, reportando aquilo que lhe chamou atenção positiva ou negativamente. Também não haverá obrigatoriedade de participação da monitoria, que acontecerá espontaneamente segundo a necessidade e o tempo de aprendizagem de cada pessoa. Já os gestores públicos de turismo terão também consultoria e troca de experiências remota, alternadas aos turnos da monitoria dos capacitados (f). Neste mesmo período, estará disponível o atendimento a produtores, donos de empresas com atividades que envolvam o turismo, e todos os demais atendidos alguma vez (g). O restante do tempo será usado para término de materiais e elaboração de outros novos que forem necessários, somadas do tempo ocioso entre atendimentos em plantão (b, c, d, g). Os membros se revezarão nas atividades conforme for mais conveniente caso a caso. Serão propostos eventos exequíveis à realidade da região, e será fomentada a parceria nos já existentes, incluindo a possibilidade de consultoria e monitoria, e ainda, serão estudadas e fomentadas as parcerias entre o Enoturismo e outros produtos de base agrária com potencial como atração turística, como queijos, massas e demais produtos alimentícios de fabricação típica (e). Os eventos também serão integrados a propostas de roteiros específicas (b, c). Relatórios periódicos de atividades e de prestação de contas serão realizados. A prospecção de editais e possível participação continua. Também serão procurados políticos com afinidade aos temas do turismo, agricultura e desenvolvimento regional para trabalho de advocacy em busca de emendas parlamentares segundo a Cartilha Parlamentar 2024-2025 do (Ministério do Turismo, 2024), especialmente nas fontes de recurso do Ministério do Turismo para: infraestrutura turística; mobilidade e conectividade turística; ativos culturais; apoio a projetos de promoção do turismo no mercado nacional; fomento a eventos turísticos; apoio ao programa de turismo responsável; apoio ao desenvolvimento e à comercialização de produtos e experiências turísticas; apoio à produção associada ao turismo e turismo de base comunitária; apoio ao programa de qualificação para o turismo; gestão territorial para o desenvolvimento no turismo. Com essas ações, espera-se poder viabilizar a produção das sinalizações, uma maior produção de materiais de divulgação, a implantação efetiva de roteiros e rotas turísticos, incluindo a possibilidade de promoção de visita de formadores de opinião para divulgação orgânica em seus meios de promoção, a exemplo do que faz o projeto Imagem do Consevitis/(Instituto de Gestão Planejamento e Desenvolvimento da Vitivinicultura do Estado do Rio Grande do Sul, [s. d.]), e principalmente a viabilização de seminário final do projeto (f).</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outubro</w:t>
      </w:r>
      <w:r>
        <w:rPr>
          <w:rFonts w:cs="Times New Roman" w:ascii="Times New Roman" w:hAnsi="Times New Roman"/>
        </w:rPr>
        <w:t>, será realizada a última visita à região, com o objetivo de consolidar o trabalho realizado, envolvendo todas as alternativas de desenvolvimento. Os três dias de trabalho condensado envolverão a entrega da versão preliminar de todos os produtos elaborados pelo projeto, a saber, dos projetos de roteiros e rotas turísticos à ProGoethe e aos gestores públicos de turismo dos municípios envolvidos, incluído o projeto de sinalização, e os diagnósticos feitos individualmente aos estabelecimentos de interesse turístico. Serão cerca de 28 h de reuniões, visitas e eventos. Serão também elaboradas as versões preliminares dos relatórios finais para o Edital Ifes Nº 12/2025 de 10 de junho de 2025.</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novembro</w:t>
      </w:r>
      <w:r>
        <w:rPr>
          <w:rFonts w:cs="Times New Roman" w:ascii="Times New Roman" w:hAnsi="Times New Roman"/>
        </w:rPr>
        <w:t>, serão finalizados todos os materiais em execução. Também será feito o planejamento do seminário final do projeto.</w:t>
      </w:r>
    </w:p>
    <w:p>
      <w:pPr>
        <w:pStyle w:val="Normal"/>
        <w:ind w:firstLine="720"/>
        <w:jc w:val="both"/>
        <w:rPr>
          <w:rFonts w:ascii="Times New Roman" w:hAnsi="Times New Roman" w:cs="Times New Roman"/>
        </w:rPr>
      </w:pPr>
      <w:r>
        <w:rPr>
          <w:rFonts w:cs="Times New Roman" w:ascii="Times New Roman" w:hAnsi="Times New Roman"/>
        </w:rPr>
        <w:t xml:space="preserve">Em </w:t>
      </w:r>
      <w:r>
        <w:rPr>
          <w:rFonts w:cs="Times New Roman" w:ascii="Times New Roman" w:hAnsi="Times New Roman"/>
          <w:b/>
          <w:bCs/>
        </w:rPr>
        <w:t>dezembro</w:t>
      </w:r>
      <w:r>
        <w:rPr>
          <w:rFonts w:cs="Times New Roman" w:ascii="Times New Roman" w:hAnsi="Times New Roman"/>
        </w:rPr>
        <w:t>, acontecerá ato formal da entrega final à ProGoethe e aos gestores públicos de turismo dos municípios envolvidos dos projetos de roteiros e rotas turísticos, incluído o projeto de sinalização, o relatório da Capacitação e o relatório sintético dos diagnósticos feitos individualmente junto aos estabelecimentos de interesse turístico. Para este evento, se planeja um Seminário na Assembleia Legislativa do Estado de Santa Catarina, com participação aberta à população e convite aos envolvidos supracitados, com duração de um dia, com palestras a definir, envolvendo a apresentação do projeto e do Edital de fomento, o trabalho realizado, a DO e encerrando com a entrega dos produtos aos responsáveis.</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b/>
        </w:rPr>
        <w:t>REFERÊNCIAS</w:t>
      </w:r>
    </w:p>
    <w:p>
      <w:pPr>
        <w:pStyle w:val="Normal"/>
        <w:jc w:val="both"/>
        <w:rPr>
          <w:rFonts w:ascii="Times New Roman" w:hAnsi="Times New Roman" w:cs="Times New Roman"/>
        </w:rPr>
      </w:pPr>
      <w:r>
        <w:rPr>
          <w:rFonts w:cs="Times New Roman" w:ascii="Times New Roman" w:hAnsi="Times New Roman"/>
        </w:rPr>
        <w:t xml:space="preserve">INSTITUTO DE GESTÃO, PLANEJAMENTO E DESENVOLVIMENTO DA VITIVINICULTURA DO ESTADO DO RIO GRANDE DO SUL. </w:t>
      </w:r>
      <w:r>
        <w:rPr>
          <w:rFonts w:cs="Times New Roman" w:ascii="Times New Roman" w:hAnsi="Times New Roman"/>
          <w:b/>
          <w:bCs/>
        </w:rPr>
        <w:t>Consevitis-RS realiza Projeto Imagem com jornalistas e influenciadores na Serra Gaúcha</w:t>
      </w:r>
      <w:r>
        <w:rPr>
          <w:rFonts w:cs="Times New Roman" w:ascii="Times New Roman" w:hAnsi="Times New Roman"/>
        </w:rPr>
        <w:t xml:space="preserve">. [S. l.], [s. d.]. Disponível em: https://www.consevitis-rs.com.br/pt/noticias/vai-de-vinho-brasileiro-apresenta-o-universo-das-uvas-nacionais-529. Acesso em: 30 jul. 2025.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INSTITUTO DO PATRIMÔNIO HISTÓRICO E ARTÍSTICO NACIONAL. </w:t>
      </w:r>
      <w:r>
        <w:rPr>
          <w:rFonts w:cs="Times New Roman" w:ascii="Times New Roman" w:hAnsi="Times New Roman"/>
          <w:b/>
          <w:bCs/>
        </w:rPr>
        <w:t>Guia brasileiro de sinalização turística</w:t>
      </w:r>
      <w:r>
        <w:rPr>
          <w:rFonts w:cs="Times New Roman" w:ascii="Times New Roman" w:hAnsi="Times New Roman"/>
        </w:rPr>
        <w:t xml:space="preserve">. 2. ed. Brasília: IPHAN, 2021. </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Cartilha Parlamentar 2024-2025</w:t>
      </w:r>
      <w:r>
        <w:rPr>
          <w:rFonts w:cs="Times New Roman" w:ascii="Times New Roman" w:hAnsi="Times New Roman"/>
        </w:rPr>
        <w:t>. Brasília: [s. n.], 2024. Disponível em: https://www.gov.br/turismo/pt-br/centrais-de-conteudo-/publicacoes/cartilha-parlamentar/2024-2025/cartilha-parlamentar-2024-2025.pdf. Acesso em: 31 jul. 2025.</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Programa de Regionalização do Turismo - Diretrizes</w:t>
      </w:r>
      <w:r>
        <w:rPr>
          <w:rFonts w:cs="Times New Roman" w:ascii="Times New Roman" w:hAnsi="Times New Roman"/>
        </w:rPr>
        <w:t>. Brasília: Coordenação Geral de Regionalização, 2013. Disponível em: https://www.gov.br/turismo/pt-br/centrais-de-conteudo-/publicacoes/programa-de-regionalizacao-do-turismo/programa-de-regionalizacao-do-turismo/programa_de_regionalizacao_do_turismo_-_diretrizes.pdf. Acesso em: 30 jul. 2025.</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MINISTÉRIO DO TURISMO. </w:t>
      </w:r>
      <w:r>
        <w:rPr>
          <w:rFonts w:cs="Times New Roman" w:ascii="Times New Roman" w:hAnsi="Times New Roman"/>
          <w:b/>
          <w:bCs/>
        </w:rPr>
        <w:t>Turismo Acessível</w:t>
      </w:r>
      <w:r>
        <w:rPr>
          <w:rFonts w:cs="Times New Roman" w:ascii="Times New Roman" w:hAnsi="Times New Roman"/>
        </w:rPr>
        <w:t>: Introdução a uma Viagem de Inclusão. Brasília: MTur, 2009. v. 1 Disponível em: https://www.gov.br/turismo/pt-br/centrais-de-conteudo-/publicacoes/turismo-acessivel/VOLUME_I_Introducao_a_uma_Viagem_de_Inclusao.pdf. Acesso em: 31 jul. 2025.</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sectPr>
          <w:headerReference w:type="default" r:id="rId4"/>
          <w:footerReference w:type="default" r:id="rId5"/>
          <w:type w:val="nextPage"/>
          <w:pgSz w:w="11906" w:h="16838"/>
          <w:pgMar w:left="1133" w:right="1139" w:gutter="0" w:header="0" w:top="1842" w:footer="0" w:bottom="1535"/>
          <w:pgNumType w:start="1" w:fmt="decimal"/>
          <w:formProt w:val="false"/>
          <w:textDirection w:val="lrTb"/>
          <w:docGrid w:type="default" w:linePitch="100" w:charSpace="0"/>
        </w:sectPr>
        <w:pStyle w:val="Normal"/>
        <w:spacing w:lineRule="auto" w:line="480"/>
        <w:jc w:val="center"/>
        <w:rPr>
          <w:rFonts w:ascii="Arial" w:hAnsi="Arial" w:eastAsia="Arial" w:cs="Arial"/>
        </w:rPr>
      </w:pPr>
      <w:r>
        <w:rPr>
          <w:rFonts w:eastAsia="Arial" w:cs="Arial" w:ascii="Arial" w:hAnsi="Arial"/>
        </w:rPr>
      </w:r>
      <w:r>
        <w:br w:type="page"/>
      </w:r>
    </w:p>
    <w:p>
      <w:pPr>
        <w:pStyle w:val="Normal"/>
        <w:spacing w:before="0" w:after="0"/>
        <w:jc w:val="center"/>
        <w:rPr>
          <w:rFonts w:ascii="Arial" w:hAnsi="Arial" w:eastAsia="Arial" w:cs="Arial"/>
          <w:b/>
          <w:b/>
          <w:bCs/>
        </w:rPr>
      </w:pPr>
      <w:r>
        <w:rPr>
          <w:rFonts w:eastAsia="Arial" w:cs="Arial" w:ascii="Arial" w:hAnsi="Arial"/>
          <w:b/>
          <w:bCs/>
        </w:rPr>
        <w:t>ANEXO II</w:t>
      </w:r>
    </w:p>
    <w:p>
      <w:pPr>
        <w:pStyle w:val="Normal"/>
        <w:jc w:val="center"/>
        <w:rPr>
          <w:rFonts w:ascii="Arial" w:hAnsi="Arial" w:eastAsia="Arial" w:cs="Arial"/>
          <w:b/>
          <w:b/>
          <w:bCs/>
        </w:rPr>
      </w:pPr>
      <w:r>
        <w:rPr>
          <w:rFonts w:eastAsia="Arial" w:cs="Arial" w:ascii="Arial" w:hAnsi="Arial"/>
          <w:b/>
          <w:bCs/>
        </w:rPr>
      </w:r>
    </w:p>
    <w:p>
      <w:pPr>
        <w:pStyle w:val="Normal"/>
        <w:jc w:val="center"/>
        <w:rPr>
          <w:rFonts w:ascii="Arial" w:hAnsi="Arial" w:eastAsia="Arial" w:cs="Arial"/>
          <w:b/>
          <w:b/>
          <w:bCs/>
        </w:rPr>
      </w:pPr>
      <w:r>
        <w:rPr>
          <w:rFonts w:eastAsia="Arial" w:cs="Arial" w:ascii="Arial" w:hAnsi="Arial"/>
          <w:b/>
          <w:bCs/>
        </w:rPr>
        <w:t>FORMULÁRIO DE INSCRIÇÃO – EDITAL 03/2026</w:t>
      </w:r>
    </w:p>
    <w:p>
      <w:pPr>
        <w:pStyle w:val="Normal"/>
        <w:jc w:val="center"/>
        <w:rPr>
          <w:rFonts w:ascii="Arial" w:hAnsi="Arial" w:eastAsia="Arial" w:cs="Arial"/>
        </w:rPr>
      </w:pPr>
      <w:r>
        <w:rPr>
          <w:rFonts w:eastAsia="Arial" w:cs="Arial" w:ascii="Arial" w:hAnsi="Arial"/>
        </w:rPr>
        <w:t>(anexar cópia de documento oficial de identificação)</w:t>
      </w:r>
    </w:p>
    <w:tbl>
      <w:tblPr>
        <w:tblW w:w="9633"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3112"/>
        <w:gridCol w:w="6520"/>
      </w:tblGrid>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Nome completo: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RG e órgão expedidor:</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Número do CPF:</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Instituição de origem:</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Número de Matrícula:</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Curso: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Nível:</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   ) técnico (   ) graduação</w:t>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E-mail para contato: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r>
        <w:trPr/>
        <w:tc>
          <w:tcPr>
            <w:tcW w:w="31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t>Telefone para contato:</w:t>
            </w:r>
          </w:p>
        </w:tc>
        <w:tc>
          <w:tcPr>
            <w:tcW w:w="6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rPr>
                <w:rFonts w:ascii="Arial" w:hAnsi="Arial" w:eastAsia="Arial" w:cs="Arial"/>
              </w:rPr>
            </w:pPr>
            <w:r>
              <w:rPr>
                <w:rFonts w:eastAsia="Arial" w:cs="Arial" w:ascii="Arial" w:hAnsi="Arial"/>
              </w:rPr>
            </w:r>
          </w:p>
        </w:tc>
      </w:tr>
    </w:tbl>
    <w:p>
      <w:pPr>
        <w:pStyle w:val="Normal"/>
        <w:spacing w:lineRule="auto" w:line="480"/>
        <w:rPr>
          <w:rFonts w:ascii="Arial" w:hAnsi="Arial" w:eastAsia="Arial" w:cs="Arial"/>
        </w:rPr>
      </w:pPr>
      <w:r>
        <w:rPr>
          <w:rFonts w:eastAsia="Arial" w:cs="Arial" w:ascii="Arial" w:hAnsi="Arial"/>
        </w:rPr>
      </w:r>
    </w:p>
    <w:p>
      <w:pPr>
        <w:pStyle w:val="Normal"/>
        <w:spacing w:lineRule="auto" w:line="276"/>
        <w:jc w:val="both"/>
        <w:rPr>
          <w:rFonts w:ascii="Arial" w:hAnsi="Arial" w:eastAsia="Arial" w:cs="Arial"/>
        </w:rPr>
      </w:pPr>
      <w:r>
        <w:rPr>
          <w:rFonts w:eastAsia="Arial" w:cs="Arial" w:ascii="Arial" w:hAnsi="Arial"/>
        </w:rPr>
        <w:t>Declaro que li o Edital e estou ciente de que minha inscrição só será completada com o envio deste formulário preenchido e dos documentos exigidos, e que sou responsável por checar a convocação para a entrevista e comparecer no dia, hora e local marcados por e-mail. Além disso, estou ciente de que minha classificação na chamada não garante a contratação da bolsa.</w:t>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rPr>
          <w:rFonts w:ascii="Arial" w:hAnsi="Arial" w:eastAsia="Arial" w:cs="Arial"/>
        </w:rPr>
      </w:pPr>
      <w:r>
        <w:rPr>
          <w:rFonts w:eastAsia="Arial" w:cs="Arial" w:ascii="Arial" w:hAnsi="Arial"/>
        </w:rPr>
      </w:r>
    </w:p>
    <w:p>
      <w:pPr>
        <w:pStyle w:val="Normal"/>
        <w:spacing w:lineRule="auto" w:line="276"/>
        <w:jc w:val="center"/>
        <w:rPr>
          <w:rFonts w:ascii="Arial" w:hAnsi="Arial" w:eastAsia="Arial" w:cs="Arial"/>
        </w:rPr>
      </w:pPr>
      <w:r>
        <w:rPr>
          <w:rFonts w:eastAsia="Arial" w:cs="Arial" w:ascii="Arial" w:hAnsi="Arial"/>
        </w:rPr>
        <w:t>_______________________________</w:t>
      </w:r>
    </w:p>
    <w:p>
      <w:pPr>
        <w:pStyle w:val="Normal"/>
        <w:spacing w:lineRule="auto" w:line="276"/>
        <w:jc w:val="center"/>
        <w:rPr>
          <w:rFonts w:ascii="Arial" w:hAnsi="Arial" w:eastAsia="Arial" w:cs="Arial"/>
        </w:rPr>
      </w:pPr>
      <w:r>
        <w:rPr>
          <w:rFonts w:eastAsia="Arial" w:cs="Arial" w:ascii="Arial" w:hAnsi="Arial"/>
        </w:rPr>
        <w:t>Assinatura</w:t>
      </w:r>
    </w:p>
    <w:p>
      <w:pPr>
        <w:pStyle w:val="Normal"/>
        <w:spacing w:lineRule="auto" w:line="480"/>
        <w:jc w:val="center"/>
        <w:rPr>
          <w:rFonts w:ascii="Arial" w:hAnsi="Arial" w:eastAsia="Arial" w:cs="Arial"/>
        </w:rPr>
      </w:pPr>
      <w:r>
        <w:rPr>
          <w:rFonts w:eastAsia="Arial" w:cs="Arial" w:ascii="Arial" w:hAnsi="Arial"/>
        </w:rPr>
      </w:r>
    </w:p>
    <w:p>
      <w:pPr>
        <w:pStyle w:val="Normal"/>
        <w:spacing w:lineRule="auto" w:line="480"/>
        <w:jc w:val="center"/>
        <w:rPr>
          <w:rFonts w:ascii="Arial" w:hAnsi="Arial" w:eastAsia="Arial" w:cs="Arial"/>
        </w:rPr>
      </w:pPr>
      <w:r>
        <w:rPr>
          <w:rFonts w:eastAsia="Arial" w:cs="Arial" w:ascii="Arial" w:hAnsi="Arial"/>
        </w:rPr>
      </w:r>
    </w:p>
    <w:p>
      <w:pPr>
        <w:pStyle w:val="Normal"/>
        <w:spacing w:lineRule="auto" w:line="480"/>
        <w:jc w:val="center"/>
        <w:rPr>
          <w:rFonts w:ascii="Arial" w:hAnsi="Arial" w:eastAsia="Arial" w:cs="Arial"/>
        </w:rPr>
      </w:pPr>
      <w:r>
        <w:rPr>
          <w:rFonts w:eastAsia="Arial" w:cs="Arial" w:ascii="Arial" w:hAnsi="Arial"/>
        </w:rPr>
      </w:r>
    </w:p>
    <w:p>
      <w:pPr>
        <w:pStyle w:val="Normal"/>
        <w:spacing w:lineRule="auto" w:line="480"/>
        <w:jc w:val="center"/>
        <w:rPr>
          <w:rFonts w:ascii="Arial" w:hAnsi="Arial" w:eastAsia="Arial" w:cs="Arial"/>
        </w:rPr>
      </w:pPr>
      <w:r>
        <w:rPr>
          <w:rFonts w:eastAsia="Arial" w:cs="Arial" w:ascii="Arial" w:hAnsi="Arial"/>
        </w:rPr>
        <w:t>Data: ____/____/_____</w:t>
      </w:r>
    </w:p>
    <w:p>
      <w:pPr>
        <w:pStyle w:val="Normal"/>
        <w:rPr>
          <w:rFonts w:ascii="Arial" w:hAnsi="Arial" w:eastAsia="Arial" w:cs="Arial"/>
        </w:rPr>
      </w:pPr>
      <w:r>
        <w:rPr>
          <w:rFonts w:eastAsia="Arial" w:cs="Arial" w:ascii="Arial" w:hAnsi="Arial"/>
        </w:rPr>
      </w:r>
      <w:r>
        <w:br w:type="page"/>
      </w:r>
    </w:p>
    <w:p>
      <w:pPr>
        <w:pStyle w:val="Normal"/>
        <w:spacing w:before="0" w:after="0"/>
        <w:rPr>
          <w:rFonts w:ascii="Arial" w:hAnsi="Arial" w:eastAsia="Arial" w:cs="Arial"/>
        </w:rPr>
      </w:pPr>
      <w:r>
        <w:rPr>
          <w:rFonts w:eastAsia="Arial" w:cs="Arial" w:ascii="Arial" w:hAnsi="Arial"/>
        </w:rPr>
      </w:r>
    </w:p>
    <w:p>
      <w:pPr>
        <w:pStyle w:val="Normal"/>
        <w:spacing w:lineRule="auto" w:line="360"/>
        <w:jc w:val="center"/>
        <w:rPr>
          <w:rFonts w:ascii="Arial" w:hAnsi="Arial" w:eastAsia="Arial" w:cs="Arial"/>
        </w:rPr>
      </w:pPr>
      <w:r>
        <w:rPr>
          <w:rFonts w:eastAsia="Arial" w:cs="Arial" w:ascii="Arial" w:hAnsi="Arial"/>
          <w:b/>
          <w:bCs/>
        </w:rPr>
        <w:t>ANEXO III</w:t>
      </w:r>
    </w:p>
    <w:p>
      <w:pPr>
        <w:pStyle w:val="Normal"/>
        <w:spacing w:lineRule="auto" w:line="360"/>
        <w:jc w:val="center"/>
        <w:rPr>
          <w:rFonts w:ascii="Arial" w:hAnsi="Arial" w:eastAsia="Arial" w:cs="Arial"/>
          <w:b/>
          <w:b/>
          <w:bCs/>
        </w:rPr>
      </w:pPr>
      <w:r>
        <w:rPr>
          <w:rFonts w:eastAsia="Arial" w:cs="Arial" w:ascii="Arial" w:hAnsi="Arial"/>
          <w:b/>
          <w:bCs/>
        </w:rPr>
        <w:t>DECLARAÇÃO DE CONHECIMENTO E CIÊNCIA</w:t>
      </w:r>
    </w:p>
    <w:p>
      <w:pPr>
        <w:pStyle w:val="Normal"/>
        <w:spacing w:lineRule="auto" w:line="360"/>
        <w:jc w:val="both"/>
        <w:rPr>
          <w:rFonts w:ascii="Arial" w:hAnsi="Arial" w:eastAsia="Arial" w:cs="Arial"/>
        </w:rPr>
      </w:pPr>
      <w:r>
        <w:rPr>
          <w:rFonts w:eastAsia="Arial" w:cs="Arial" w:ascii="Arial" w:hAnsi="Arial"/>
        </w:rPr>
      </w:r>
    </w:p>
    <w:p>
      <w:pPr>
        <w:pStyle w:val="Normal"/>
        <w:spacing w:lineRule="auto" w:line="360"/>
        <w:jc w:val="both"/>
        <w:rPr>
          <w:rFonts w:ascii="Arial" w:hAnsi="Arial" w:eastAsia="Arial" w:cs="Arial"/>
        </w:rPr>
      </w:pPr>
      <w:r>
        <w:rPr>
          <w:rFonts w:eastAsia="Arial" w:cs="Arial" w:ascii="Arial" w:hAnsi="Arial"/>
        </w:rPr>
      </w:r>
    </w:p>
    <w:p>
      <w:pPr>
        <w:pStyle w:val="Normal"/>
        <w:spacing w:lineRule="auto" w:line="360"/>
        <w:jc w:val="both"/>
        <w:rPr>
          <w:rFonts w:ascii="Arial" w:hAnsi="Arial" w:eastAsia="Arial" w:cs="Arial"/>
        </w:rPr>
      </w:pPr>
      <w:r>
        <w:rPr>
          <w:rFonts w:eastAsia="Arial" w:cs="Arial" w:ascii="Arial" w:hAnsi="Arial"/>
        </w:rPr>
        <w:t>Eu, ______________________________________, declaro:</w:t>
      </w:r>
    </w:p>
    <w:p>
      <w:pPr>
        <w:pStyle w:val="Normal"/>
        <w:spacing w:lineRule="auto" w:line="360"/>
        <w:jc w:val="both"/>
        <w:rPr>
          <w:rFonts w:ascii="Arial" w:hAnsi="Arial" w:eastAsia="Arial" w:cs="Arial"/>
        </w:rPr>
      </w:pPr>
      <w:r>
        <w:rPr>
          <w:rFonts w:eastAsia="Arial" w:cs="Arial" w:ascii="Arial" w:hAnsi="Arial"/>
        </w:rPr>
      </w:r>
    </w:p>
    <w:p>
      <w:pPr>
        <w:pStyle w:val="ListParagraph"/>
        <w:numPr>
          <w:ilvl w:val="0"/>
          <w:numId w:val="1"/>
        </w:numPr>
        <w:spacing w:lineRule="auto" w:line="360"/>
        <w:jc w:val="both"/>
        <w:rPr>
          <w:rFonts w:eastAsia="Arial"/>
          <w:sz w:val="24"/>
          <w:szCs w:val="24"/>
        </w:rPr>
      </w:pPr>
      <w:r>
        <w:rPr>
          <w:rFonts w:eastAsia="Arial"/>
          <w:sz w:val="24"/>
          <w:szCs w:val="24"/>
        </w:rPr>
        <w:t>ter lido e entendido o projeto;</w:t>
      </w:r>
    </w:p>
    <w:p>
      <w:pPr>
        <w:pStyle w:val="ListParagraph"/>
        <w:numPr>
          <w:ilvl w:val="0"/>
          <w:numId w:val="1"/>
        </w:numPr>
        <w:spacing w:lineRule="auto" w:line="360"/>
        <w:jc w:val="both"/>
        <w:rPr>
          <w:rFonts w:eastAsia="Arial"/>
          <w:sz w:val="24"/>
          <w:szCs w:val="24"/>
        </w:rPr>
      </w:pPr>
      <w:r>
        <w:rPr>
          <w:rFonts w:eastAsia="Arial"/>
          <w:sz w:val="24"/>
          <w:szCs w:val="24"/>
        </w:rPr>
        <w:t>ter iniciativa, capacidade e proatividade para colocar as atividades planejadas no projeto em prática, sem necessidade de ordem da Coordenação, sob orientação e supervisão da mesma, a qual devo me reportar e tirar dúvidas;</w:t>
      </w:r>
    </w:p>
    <w:p>
      <w:pPr>
        <w:pStyle w:val="ListParagraph"/>
        <w:numPr>
          <w:ilvl w:val="0"/>
          <w:numId w:val="1"/>
        </w:numPr>
        <w:spacing w:lineRule="auto" w:line="360"/>
        <w:jc w:val="both"/>
        <w:rPr>
          <w:rFonts w:eastAsia="Arial"/>
          <w:sz w:val="24"/>
          <w:szCs w:val="24"/>
        </w:rPr>
      </w:pPr>
      <w:r>
        <w:rPr>
          <w:rFonts w:eastAsia="Arial"/>
          <w:sz w:val="24"/>
          <w:szCs w:val="24"/>
        </w:rPr>
        <w:t>estar ciente de que, semanalmente, a não entrega dos materiais previstos ou a realização em desacordo com as orientações e correções da Coordenação ensejará em insuficiência de desempenho e em substituição do bolsista;</w:t>
      </w:r>
    </w:p>
    <w:p>
      <w:pPr>
        <w:pStyle w:val="ListParagraph"/>
        <w:numPr>
          <w:ilvl w:val="0"/>
          <w:numId w:val="1"/>
        </w:numPr>
        <w:spacing w:lineRule="auto" w:line="360"/>
        <w:jc w:val="both"/>
        <w:rPr>
          <w:rFonts w:eastAsia="Arial"/>
          <w:sz w:val="24"/>
          <w:szCs w:val="24"/>
        </w:rPr>
      </w:pPr>
      <w:r>
        <w:rPr>
          <w:rFonts w:eastAsia="Arial"/>
          <w:sz w:val="24"/>
          <w:szCs w:val="24"/>
        </w:rPr>
        <w:t>executar todas as atividades em tempo real em drive apropriado indicado pela Coordenação;</w:t>
      </w:r>
    </w:p>
    <w:p>
      <w:pPr>
        <w:pStyle w:val="ListParagraph"/>
        <w:numPr>
          <w:ilvl w:val="0"/>
          <w:numId w:val="1"/>
        </w:numPr>
        <w:spacing w:lineRule="auto" w:line="360"/>
        <w:jc w:val="both"/>
        <w:rPr>
          <w:rFonts w:eastAsia="Arial"/>
          <w:sz w:val="24"/>
          <w:szCs w:val="24"/>
        </w:rPr>
      </w:pPr>
      <w:r>
        <w:rPr>
          <w:sz w:val="24"/>
          <w:szCs w:val="24"/>
        </w:rPr>
        <w:t>ter disponibilidade para trabalhar as 20 h semanais de modo presencial na instituição, em acordo com a Coordenação, dentro da seguinte disponibilidade de horários:</w:t>
      </w:r>
    </w:p>
    <w:tbl>
      <w:tblPr>
        <w:tblW w:w="8186" w:type="dxa"/>
        <w:jc w:val="center"/>
        <w:tblInd w:w="0" w:type="dxa"/>
        <w:tblLayout w:type="fixed"/>
        <w:tblCellMar>
          <w:top w:w="55" w:type="dxa"/>
          <w:left w:w="55" w:type="dxa"/>
          <w:bottom w:w="55" w:type="dxa"/>
          <w:right w:w="55" w:type="dxa"/>
        </w:tblCellMar>
      </w:tblPr>
      <w:tblGrid>
        <w:gridCol w:w="884"/>
        <w:gridCol w:w="1650"/>
        <w:gridCol w:w="1305"/>
        <w:gridCol w:w="1589"/>
        <w:gridCol w:w="1412"/>
        <w:gridCol w:w="1345"/>
      </w:tblGrid>
      <w:tr>
        <w:trPr/>
        <w:tc>
          <w:tcPr>
            <w:tcW w:w="884"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Turno</w:t>
            </w:r>
          </w:p>
        </w:tc>
        <w:tc>
          <w:tcPr>
            <w:tcW w:w="1650"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Segunda-feira</w:t>
            </w:r>
          </w:p>
        </w:tc>
        <w:tc>
          <w:tcPr>
            <w:tcW w:w="1305"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Terça-feira</w:t>
            </w:r>
          </w:p>
        </w:tc>
        <w:tc>
          <w:tcPr>
            <w:tcW w:w="1589"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Quarta-feira</w:t>
            </w:r>
          </w:p>
        </w:tc>
        <w:tc>
          <w:tcPr>
            <w:tcW w:w="1412" w:type="dxa"/>
            <w:tcBorders>
              <w:top w:val="single" w:sz="4" w:space="0" w:color="000000"/>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Quinta-feira</w:t>
            </w:r>
          </w:p>
        </w:tc>
        <w:tc>
          <w:tcPr>
            <w:tcW w:w="1345"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t>Sexta-feira</w:t>
            </w:r>
          </w:p>
        </w:tc>
      </w:tr>
      <w:tr>
        <w:trPr/>
        <w:tc>
          <w:tcPr>
            <w:tcW w:w="884" w:type="dxa"/>
            <w:tcBorders>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Manhã</w:t>
            </w:r>
          </w:p>
        </w:tc>
        <w:tc>
          <w:tcPr>
            <w:tcW w:w="1650"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05"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589"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412"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45" w:type="dxa"/>
            <w:tcBorders>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r>
      <w:tr>
        <w:trPr/>
        <w:tc>
          <w:tcPr>
            <w:tcW w:w="884" w:type="dxa"/>
            <w:tcBorders>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Tarde</w:t>
            </w:r>
          </w:p>
        </w:tc>
        <w:tc>
          <w:tcPr>
            <w:tcW w:w="1650"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05"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589"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412"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45" w:type="dxa"/>
            <w:tcBorders>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r>
      <w:tr>
        <w:trPr/>
        <w:tc>
          <w:tcPr>
            <w:tcW w:w="884" w:type="dxa"/>
            <w:tcBorders>
              <w:left w:val="single" w:sz="4" w:space="0" w:color="000000"/>
              <w:bottom w:val="single" w:sz="4" w:space="0" w:color="000000"/>
            </w:tcBorders>
          </w:tcPr>
          <w:p>
            <w:pPr>
              <w:pStyle w:val="Contedodatabela"/>
              <w:widowControl w:val="false"/>
              <w:jc w:val="center"/>
              <w:rPr>
                <w:rFonts w:ascii="Arial" w:hAnsi="Arial" w:eastAsia="Times New Roman" w:cs="Arial"/>
                <w:b w:val="false"/>
                <w:b w:val="false"/>
                <w:bCs w:val="false"/>
                <w:sz w:val="24"/>
                <w:szCs w:val="24"/>
              </w:rPr>
            </w:pPr>
            <w:r>
              <w:rPr>
                <w:rFonts w:eastAsia="Times New Roman" w:cs="Arial" w:ascii="Arial" w:hAnsi="Arial"/>
                <w:b w:val="false"/>
                <w:bCs w:val="false"/>
                <w:sz w:val="24"/>
                <w:szCs w:val="24"/>
              </w:rPr>
              <w:t>Noite</w:t>
            </w:r>
          </w:p>
        </w:tc>
        <w:tc>
          <w:tcPr>
            <w:tcW w:w="1650"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05"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589"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412" w:type="dxa"/>
            <w:tcBorders>
              <w:left w:val="single" w:sz="4" w:space="0" w:color="000000"/>
              <w:bottom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c>
          <w:tcPr>
            <w:tcW w:w="1345" w:type="dxa"/>
            <w:tcBorders>
              <w:left w:val="single" w:sz="4" w:space="0" w:color="000000"/>
              <w:bottom w:val="single" w:sz="4" w:space="0" w:color="000000"/>
              <w:right w:val="single" w:sz="4" w:space="0" w:color="000000"/>
            </w:tcBorders>
          </w:tcPr>
          <w:p>
            <w:pPr>
              <w:pStyle w:val="Contedodatabela"/>
              <w:widowControl w:val="false"/>
              <w:jc w:val="center"/>
              <w:rPr>
                <w:rFonts w:ascii="Arial" w:hAnsi="Arial" w:eastAsia="Times New Roman" w:cs="Arial"/>
                <w:sz w:val="24"/>
                <w:szCs w:val="24"/>
              </w:rPr>
            </w:pPr>
            <w:r>
              <w:rPr>
                <w:rFonts w:eastAsia="Times New Roman" w:cs="Arial" w:ascii="Arial" w:hAnsi="Arial"/>
                <w:sz w:val="24"/>
                <w:szCs w:val="24"/>
              </w:rPr>
            </w:r>
          </w:p>
        </w:tc>
      </w:tr>
    </w:tbl>
    <w:p>
      <w:pPr>
        <w:pStyle w:val="ListParagraph"/>
        <w:numPr>
          <w:ilvl w:val="0"/>
          <w:numId w:val="0"/>
        </w:numPr>
        <w:spacing w:lineRule="auto" w:line="360"/>
        <w:ind w:left="720" w:hanging="0"/>
        <w:jc w:val="both"/>
        <w:rPr>
          <w:sz w:val="24"/>
          <w:szCs w:val="24"/>
        </w:rPr>
      </w:pPr>
      <w:r>
        <w:rPr>
          <w:sz w:val="24"/>
          <w:szCs w:val="24"/>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Local, ___de _____ de 2026.</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240"/>
        <w:jc w:val="center"/>
        <w:rPr>
          <w:rFonts w:ascii="Arial" w:hAnsi="Arial" w:eastAsia="Arial" w:cs="Arial"/>
        </w:rPr>
      </w:pPr>
      <w:r>
        <w:rPr>
          <w:rFonts w:eastAsia="Arial" w:cs="Arial" w:ascii="Arial" w:hAnsi="Arial"/>
        </w:rPr>
        <w:t>_______________________</w:t>
      </w:r>
    </w:p>
    <w:p>
      <w:pPr>
        <w:pStyle w:val="Normal"/>
        <w:spacing w:lineRule="auto" w:line="240"/>
        <w:jc w:val="center"/>
        <w:rPr/>
      </w:pPr>
      <w:r>
        <w:rPr>
          <w:rFonts w:eastAsia="Arial" w:cs="Arial" w:ascii="Arial" w:hAnsi="Arial"/>
        </w:rPr>
        <w:t>Assinatura do candidato</w:t>
      </w:r>
    </w:p>
    <w:p>
      <w:pPr>
        <w:pStyle w:val="Normal"/>
        <w:rPr>
          <w:rFonts w:ascii="Arial" w:hAnsi="Arial" w:eastAsia="Arial" w:cs="Arial"/>
        </w:rPr>
      </w:pPr>
      <w:r>
        <w:rPr>
          <w:rFonts w:eastAsia="Arial" w:cs="Arial" w:ascii="Arial" w:hAnsi="Arial"/>
        </w:rPr>
      </w:r>
      <w:r>
        <w:br w:type="page"/>
      </w:r>
    </w:p>
    <w:p>
      <w:pPr>
        <w:pStyle w:val="Normal"/>
        <w:spacing w:before="0" w:after="0"/>
        <w:rPr>
          <w:rFonts w:ascii="Arial" w:hAnsi="Arial" w:eastAsia="Arial" w:cs="Arial"/>
        </w:rPr>
      </w:pPr>
      <w:r>
        <w:rPr>
          <w:rFonts w:eastAsia="Arial" w:cs="Arial" w:ascii="Arial" w:hAnsi="Arial"/>
        </w:rPr>
      </w:r>
    </w:p>
    <w:p>
      <w:pPr>
        <w:pStyle w:val="Normal"/>
        <w:spacing w:lineRule="auto" w:line="360"/>
        <w:jc w:val="center"/>
        <w:rPr>
          <w:rFonts w:ascii="Arial" w:hAnsi="Arial" w:eastAsia="Arial" w:cs="Arial"/>
        </w:rPr>
      </w:pPr>
      <w:r>
        <w:rPr>
          <w:rFonts w:eastAsia="Arial" w:cs="Arial" w:ascii="Arial" w:hAnsi="Arial"/>
          <w:b/>
          <w:bCs/>
        </w:rPr>
        <w:t>ANEXO IV</w:t>
      </w:r>
    </w:p>
    <w:p>
      <w:pPr>
        <w:pStyle w:val="Normal"/>
        <w:spacing w:lineRule="auto" w:line="360"/>
        <w:jc w:val="center"/>
        <w:rPr>
          <w:rFonts w:ascii="Arial" w:hAnsi="Arial" w:eastAsia="Arial" w:cs="Arial"/>
          <w:b/>
          <w:b/>
          <w:bCs/>
        </w:rPr>
      </w:pPr>
      <w:r>
        <w:rPr>
          <w:rFonts w:eastAsia="Arial" w:cs="Arial" w:ascii="Arial" w:hAnsi="Arial"/>
          <w:b/>
          <w:bCs/>
        </w:rPr>
        <w:t>FORMULÁRIO DE RECURSO – EDITAL 03/2026</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De: (nome do candidato) _____________________________</w:t>
      </w:r>
    </w:p>
    <w:p>
      <w:pPr>
        <w:pStyle w:val="Normal"/>
        <w:spacing w:lineRule="auto" w:line="360"/>
        <w:rPr>
          <w:rFonts w:ascii="Arial" w:hAnsi="Arial" w:eastAsia="Arial" w:cs="Arial"/>
        </w:rPr>
      </w:pPr>
      <w:r>
        <w:rPr>
          <w:rFonts w:eastAsia="Arial" w:cs="Arial" w:ascii="Arial" w:hAnsi="Arial"/>
        </w:rPr>
        <w:t>Para: Coordenador do Projeto do Edital 03/2026</w:t>
      </w:r>
    </w:p>
    <w:p>
      <w:pPr>
        <w:pStyle w:val="Normal"/>
        <w:spacing w:lineRule="auto" w:line="360" w:before="0" w:after="240"/>
        <w:jc w:val="both"/>
        <w:rPr>
          <w:rFonts w:ascii="Arial" w:hAnsi="Arial" w:eastAsia="Arial" w:cs="Arial"/>
        </w:rPr>
      </w:pPr>
      <w:r>
        <w:rPr>
          <w:rFonts w:eastAsia="Arial" w:cs="Arial" w:ascii="Arial" w:hAnsi="Arial"/>
        </w:rPr>
        <w:t>Encaminho o recurso ao resultado parcial do Edital 03/2026 e peço deferimento.</w:t>
      </w:r>
    </w:p>
    <w:p>
      <w:pPr>
        <w:pStyle w:val="Normal"/>
        <w:spacing w:lineRule="auto" w:line="480"/>
        <w:rPr>
          <w:rFonts w:ascii="Arial" w:hAnsi="Arial" w:eastAsia="Arial" w:cs="Arial"/>
        </w:rPr>
      </w:pPr>
      <w:r>
        <w:rPr>
          <w:rFonts w:eastAsia="Arial" w:cs="Arial" w:ascii="Arial" w:hAnsi="Arial"/>
        </w:rPr>
        <w:t>1. Dados gerais do candidato:</w:t>
      </w:r>
    </w:p>
    <w:tbl>
      <w:tblPr>
        <w:tblW w:w="9633"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3963"/>
        <w:gridCol w:w="5669"/>
      </w:tblGrid>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Nome completo: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Número do RG e órgão expedidor:</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Número do CPF:</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Curso: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E-mail para contato: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r>
        <w:trPr/>
        <w:tc>
          <w:tcPr>
            <w:tcW w:w="39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t>Telefone para contato:</w:t>
            </w:r>
          </w:p>
        </w:tc>
        <w:tc>
          <w:tcPr>
            <w:tcW w:w="56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360"/>
              <w:rPr>
                <w:rFonts w:ascii="Arial" w:hAnsi="Arial" w:eastAsia="Arial" w:cs="Arial"/>
              </w:rPr>
            </w:pPr>
            <w:r>
              <w:rPr>
                <w:rFonts w:eastAsia="Arial" w:cs="Arial" w:ascii="Arial" w:hAnsi="Arial"/>
              </w:rPr>
            </w:r>
          </w:p>
        </w:tc>
      </w:tr>
    </w:tbl>
    <w:p>
      <w:pPr>
        <w:pStyle w:val="Normal"/>
        <w:spacing w:lineRule="auto" w:line="480" w:before="240" w:after="0"/>
        <w:rPr>
          <w:rFonts w:ascii="Arial" w:hAnsi="Arial" w:eastAsia="Arial" w:cs="Arial"/>
        </w:rPr>
      </w:pPr>
      <w:r>
        <w:rPr>
          <w:rFonts w:eastAsia="Arial" w:cs="Arial" w:ascii="Arial" w:hAnsi="Arial"/>
        </w:rPr>
        <w:t>2. Justificativa do recurso:</w:t>
      </w:r>
    </w:p>
    <w:tbl>
      <w:tblPr>
        <w:tblW w:w="9634"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9634"/>
      </w:tblGrid>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bl>
    <w:p>
      <w:pPr>
        <w:pStyle w:val="Normal"/>
        <w:spacing w:lineRule="auto" w:line="480" w:before="240" w:after="0"/>
        <w:rPr>
          <w:rFonts w:ascii="Arial" w:hAnsi="Arial" w:eastAsia="Arial" w:cs="Arial"/>
        </w:rPr>
      </w:pPr>
      <w:r>
        <w:rPr>
          <w:rFonts w:eastAsia="Arial" w:cs="Arial" w:ascii="Arial" w:hAnsi="Arial"/>
        </w:rPr>
        <w:t>3. Fundamentação legal do recurso:</w:t>
      </w:r>
    </w:p>
    <w:tbl>
      <w:tblPr>
        <w:tblW w:w="9634" w:type="dxa"/>
        <w:jc w:val="left"/>
        <w:tblInd w:w="-113" w:type="dxa"/>
        <w:tblLayout w:type="fixed"/>
        <w:tblCellMar>
          <w:top w:w="0" w:type="dxa"/>
          <w:left w:w="108" w:type="dxa"/>
          <w:bottom w:w="0" w:type="dxa"/>
          <w:right w:w="108" w:type="dxa"/>
        </w:tblCellMar>
        <w:tblLook w:val="0400" w:noHBand="0" w:noVBand="1" w:firstColumn="0" w:lastRow="0" w:lastColumn="0" w:firstRow="0"/>
      </w:tblPr>
      <w:tblGrid>
        <w:gridCol w:w="9634"/>
      </w:tblGrid>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r>
        <w:trPr/>
        <w:tc>
          <w:tcPr>
            <w:tcW w:w="9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rPr>
                <w:rFonts w:ascii="Arial" w:hAnsi="Arial" w:eastAsia="Arial" w:cs="Arial"/>
              </w:rPr>
            </w:pPr>
            <w:r>
              <w:rPr>
                <w:rFonts w:eastAsia="Arial" w:cs="Arial" w:ascii="Arial" w:hAnsi="Arial"/>
              </w:rPr>
            </w:r>
          </w:p>
        </w:tc>
      </w:tr>
    </w:tbl>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Declaro que as informações fornecidas neste recurso são verdadeiras, de minha inteira responsabilidade e que estou ciente das implicações legais da omissão e/ou falsidade do que for declarado.</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t>Local, ___de _____ de 2026.</w:t>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l" w:hAnsi="Arial" w:eastAsia="Arial" w:cs="Arial"/>
        </w:rPr>
      </w:pPr>
      <w:r>
        <w:rPr>
          <w:rFonts w:eastAsia="Arial" w:cs="Arial" w:ascii="Arial" w:hAnsi="Arial"/>
        </w:rPr>
      </w:r>
    </w:p>
    <w:p>
      <w:pPr>
        <w:pStyle w:val="Normal"/>
        <w:spacing w:lineRule="auto" w:line="360"/>
        <w:rPr>
          <w:rFonts w:ascii="aria" w:hAnsi="aria" w:eastAsia="Arial" w:cs="Arial"/>
        </w:rPr>
      </w:pPr>
      <w:r>
        <w:rPr>
          <w:rFonts w:eastAsia="Arial" w:cs="Arial" w:ascii="aria" w:hAnsi="aria"/>
        </w:rPr>
      </w:r>
    </w:p>
    <w:p>
      <w:pPr>
        <w:pStyle w:val="Normal"/>
        <w:spacing w:lineRule="auto" w:line="240"/>
        <w:jc w:val="center"/>
        <w:rPr>
          <w:rFonts w:ascii="arial" w:hAnsi="arial" w:eastAsia="Arial" w:cs="Arial"/>
          <w:b w:val="false"/>
          <w:b w:val="false"/>
          <w:bCs w:val="false"/>
        </w:rPr>
      </w:pPr>
      <w:r>
        <w:rPr>
          <w:rFonts w:eastAsia="Arial" w:cs="Arial" w:ascii="arial" w:hAnsi="arial"/>
          <w:b w:val="false"/>
          <w:bCs w:val="false"/>
        </w:rPr>
        <w:t>_______________________</w:t>
      </w:r>
    </w:p>
    <w:p>
      <w:pPr>
        <w:pStyle w:val="Normal"/>
        <w:spacing w:lineRule="auto" w:line="240"/>
        <w:jc w:val="center"/>
        <w:rPr>
          <w:rFonts w:ascii="arial" w:hAnsi="arial"/>
          <w:b w:val="false"/>
          <w:b w:val="false"/>
          <w:bCs w:val="false"/>
        </w:rPr>
      </w:pPr>
      <w:r>
        <w:rPr>
          <w:rFonts w:eastAsia="Arial" w:cs="Arial" w:ascii="arial" w:hAnsi="arial"/>
          <w:b w:val="false"/>
          <w:bCs w:val="false"/>
        </w:rPr>
        <w:t>Assinatura do candidato</w:t>
      </w:r>
    </w:p>
    <w:sectPr>
      <w:headerReference w:type="default" r:id="rId6"/>
      <w:footerReference w:type="default" r:id="rId7"/>
      <w:type w:val="nextPage"/>
      <w:pgSz w:w="11906" w:h="16838"/>
      <w:pgMar w:left="1133" w:right="1139" w:gutter="0" w:header="0" w:top="1842" w:footer="0" w:bottom="153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1"/>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Georgia">
    <w:charset w:val="01"/>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Arial">
    <w:charset w:val="01"/>
    <w:family w:val="roman"/>
    <w:pitch w:val="variable"/>
  </w:font>
  <w:font w:name="Liberation Sans">
    <w:altName w:val="Arial"/>
    <w:charset w:val="01"/>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Roboto">
    <w:charset w:val="01"/>
    <w:family w:val="roman"/>
    <w:pitch w:val="variable"/>
    <w:embedRegular r:id="rId22" w:fontKey="{16014A78-CABC-4EF0-12AC-5CD89AEFDE16}"/>
    <w:embedBold r:id="rId23" w:fontKey="{17014A78-CABC-4EF0-12AC-5CD89AEFDE17}"/>
  </w:font>
  <w:font w:name="aria">
    <w:charset w:val="01"/>
    <w:family w:val="roman"/>
    <w:pitch w:val="variable"/>
  </w:font>
  <w:font w:name="arial">
    <w:charset w:val="01"/>
    <w:family w:val="roman"/>
    <w:pitch w:val="variable"/>
  </w:font>
  <w:font w:name="Symbol">
    <w:charset w:val="02"/>
    <w:family w:val="auto"/>
    <w:pitch w:val="default"/>
    <w:embedRegular r:id="rId24" w:fontKey="{18014A78-CABC-4EF0-12AC-5CD89AEFDE18}"/>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240" w:after="0"/>
      <w:jc w:val="center"/>
      <w:rPr/>
    </w:pPr>
    <w:r>
      <w:rPr>
        <w:rFonts w:eastAsia="Roboto" w:cs="Roboto" w:ascii="Roboto" w:hAnsi="Roboto"/>
        <w:b/>
        <w:bCs/>
        <w:color w:val="008000"/>
        <w:sz w:val="18"/>
        <w:szCs w:val="18"/>
      </w:rPr>
      <w:t>Instituto Federal de Santa Catarina – Campus Florianópolis Continente</w:t>
    </w:r>
    <w:r>
      <w:rPr>
        <w:rFonts w:eastAsia="Roboto" w:cs="Roboto" w:ascii="Roboto" w:hAnsi="Roboto"/>
        <w:sz w:val="18"/>
        <w:szCs w:val="18"/>
      </w:rPr>
      <w:br/>
      <w:t>Rua: 14 de julho, 150 | Coqueiros | Florianópolis /SC | CEP: 88.075-010</w:t>
      <w:br/>
      <w:t>Fone: (48) 3877-9000 | www.ifsc.edu.br | CNPJ 11.402.887/0001-60</w:t>
    </w:r>
  </w:p>
  <w:p>
    <w:pPr>
      <w:pStyle w:val="Normal"/>
      <w:rPr>
        <w:rFonts w:ascii="Roboto" w:hAnsi="Roboto" w:eastAsia="Roboto" w:cs="Roboto"/>
      </w:rPr>
    </w:pPr>
    <w:r>
      <w:rPr>
        <w:rFonts w:eastAsia="Roboto" w:cs="Roboto" w:ascii="Roboto" w:hAnsi="Roboto"/>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240" w:after="0"/>
      <w:jc w:val="center"/>
      <w:rPr/>
    </w:pPr>
    <w:r>
      <w:rPr>
        <w:rFonts w:eastAsia="Roboto" w:cs="Roboto" w:ascii="Roboto" w:hAnsi="Roboto"/>
        <w:b/>
        <w:bCs/>
        <w:color w:val="008000"/>
        <w:sz w:val="18"/>
        <w:szCs w:val="18"/>
      </w:rPr>
      <w:t>Instituto Federal de Santa Catarina – Campus Florianópolis Continente</w:t>
      <w:br/>
    </w:r>
    <w:r>
      <w:rPr>
        <w:rFonts w:eastAsia="Roboto" w:cs="Roboto" w:ascii="Roboto" w:hAnsi="Roboto"/>
        <w:sz w:val="18"/>
        <w:szCs w:val="18"/>
      </w:rPr>
      <w:t>Rua: 14 de julho, 150 | Coqueiros | Florianópolis /SC | CEP: 88.075-010</w:t>
      <w:br/>
      <w:t>Fone: (48) 3877-9000 | www.ifsc.edu.br | CNPJ 11.402.887/0001-60</w:t>
    </w:r>
  </w:p>
  <w:p>
    <w:pPr>
      <w:pStyle w:val="Normal"/>
      <w:rPr>
        <w:rFonts w:ascii="Roboto" w:hAnsi="Roboto" w:eastAsia="Roboto" w:cs="Roboto"/>
      </w:rPr>
    </w:pPr>
    <w:r>
      <w:rPr>
        <w:rFonts w:eastAsia="Roboto" w:cs="Roboto" w:ascii="Roboto" w:hAnsi="Roboto"/>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drawing>
        <wp:anchor behindDoc="1" distT="0" distB="0" distL="0" distR="0" simplePos="0" locked="0" layoutInCell="0" allowOverlap="1" relativeHeight="31">
          <wp:simplePos x="0" y="0"/>
          <wp:positionH relativeFrom="column">
            <wp:posOffset>0</wp:posOffset>
          </wp:positionH>
          <wp:positionV relativeFrom="paragraph">
            <wp:posOffset>233045</wp:posOffset>
          </wp:positionV>
          <wp:extent cx="6120130" cy="663575"/>
          <wp:effectExtent l="0" t="0" r="0" b="0"/>
          <wp:wrapTopAndBottom/>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6120130" cy="66357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drawing>
        <wp:anchor behindDoc="1" distT="0" distB="0" distL="0" distR="0" simplePos="0" locked="0" layoutInCell="0" allowOverlap="1" relativeHeight="5">
          <wp:simplePos x="0" y="0"/>
          <wp:positionH relativeFrom="column">
            <wp:posOffset>0</wp:posOffset>
          </wp:positionH>
          <wp:positionV relativeFrom="paragraph">
            <wp:posOffset>233045</wp:posOffset>
          </wp:positionV>
          <wp:extent cx="6120130" cy="663575"/>
          <wp:effectExtent l="0" t="0" r="0" b="0"/>
          <wp:wrapTopAndBottom/>
          <wp:docPr id="2"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
                  <pic:cNvPicPr>
                    <a:picLocks noChangeAspect="1" noChangeArrowheads="1"/>
                  </pic:cNvPicPr>
                </pic:nvPicPr>
                <pic:blipFill>
                  <a:blip r:embed="rId1"/>
                  <a:stretch>
                    <a:fillRect/>
                  </a:stretch>
                </pic:blipFill>
                <pic:spPr bwMode="auto">
                  <a:xfrm>
                    <a:off x="0" y="0"/>
                    <a:ext cx="6120130" cy="6635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3c4d"/>
    <w:pPr>
      <w:widowControl w:val="false"/>
      <w:suppressAutoHyphens w:val="true"/>
      <w:bidi w:val="0"/>
      <w:spacing w:before="0" w:after="0"/>
      <w:jc w:val="left"/>
    </w:pPr>
    <w:rPr>
      <w:rFonts w:ascii="Liberation Serif" w:hAnsi="Liberation Serif" w:eastAsia="Liberation Serif" w:cs="Liberation Serif"/>
      <w:color w:val="auto"/>
      <w:kern w:val="0"/>
      <w:sz w:val="24"/>
      <w:szCs w:val="24"/>
      <w:lang w:val="pt-BR" w:eastAsia="pt-BR" w:bidi="ar-SA"/>
    </w:rPr>
  </w:style>
  <w:style w:type="paragraph" w:styleId="Ttulo1">
    <w:name w:val="Heading 1"/>
    <w:basedOn w:val="Normal"/>
    <w:next w:val="Normal"/>
    <w:link w:val="Ttulo1Char"/>
    <w:uiPriority w:val="9"/>
    <w:qFormat/>
    <w:pPr>
      <w:keepNext w:val="true"/>
      <w:keepLines/>
      <w:widowControl/>
      <w:spacing w:before="480" w:after="120"/>
      <w:outlineLvl w:val="0"/>
    </w:pPr>
    <w:rPr>
      <w:b/>
      <w:bCs/>
      <w:color w:val="000000"/>
      <w:sz w:val="48"/>
      <w:szCs w:val="48"/>
    </w:rPr>
  </w:style>
  <w:style w:type="paragraph" w:styleId="Ttulo2">
    <w:name w:val="Heading 2"/>
    <w:basedOn w:val="Normal"/>
    <w:next w:val="Normal"/>
    <w:link w:val="Ttulo2Char"/>
    <w:uiPriority w:val="9"/>
    <w:semiHidden/>
    <w:unhideWhenUsed/>
    <w:qFormat/>
    <w:pPr>
      <w:keepNext w:val="true"/>
      <w:keepLines/>
      <w:widowControl/>
      <w:spacing w:before="360" w:after="80"/>
      <w:outlineLvl w:val="1"/>
    </w:pPr>
    <w:rPr>
      <w:b/>
      <w:bCs/>
      <w:color w:val="000000"/>
      <w:sz w:val="36"/>
      <w:szCs w:val="36"/>
    </w:rPr>
  </w:style>
  <w:style w:type="paragraph" w:styleId="Ttulo3">
    <w:name w:val="Heading 3"/>
    <w:basedOn w:val="Normal"/>
    <w:next w:val="Normal"/>
    <w:link w:val="Ttulo3Char"/>
    <w:uiPriority w:val="9"/>
    <w:semiHidden/>
    <w:unhideWhenUsed/>
    <w:qFormat/>
    <w:pPr>
      <w:keepNext w:val="true"/>
      <w:keepLines/>
      <w:widowControl/>
      <w:spacing w:before="280" w:after="80"/>
      <w:outlineLvl w:val="2"/>
    </w:pPr>
    <w:rPr>
      <w:b/>
      <w:bCs/>
      <w:color w:val="000000"/>
      <w:sz w:val="28"/>
      <w:szCs w:val="28"/>
    </w:rPr>
  </w:style>
  <w:style w:type="paragraph" w:styleId="Ttulo4">
    <w:name w:val="Heading 4"/>
    <w:basedOn w:val="Normal"/>
    <w:next w:val="Normal"/>
    <w:link w:val="Ttulo4Char"/>
    <w:uiPriority w:val="9"/>
    <w:semiHidden/>
    <w:unhideWhenUsed/>
    <w:qFormat/>
    <w:pPr>
      <w:keepNext w:val="true"/>
      <w:keepLines/>
      <w:widowControl/>
      <w:spacing w:before="240" w:after="40"/>
      <w:outlineLvl w:val="3"/>
    </w:pPr>
    <w:rPr>
      <w:b/>
      <w:bCs/>
      <w:color w:val="000000"/>
    </w:rPr>
  </w:style>
  <w:style w:type="paragraph" w:styleId="Ttulo5">
    <w:name w:val="Heading 5"/>
    <w:basedOn w:val="Normal"/>
    <w:next w:val="Normal"/>
    <w:link w:val="Ttulo5Char"/>
    <w:uiPriority w:val="9"/>
    <w:semiHidden/>
    <w:unhideWhenUsed/>
    <w:qFormat/>
    <w:pPr>
      <w:keepNext w:val="true"/>
      <w:keepLines/>
      <w:widowControl/>
      <w:spacing w:before="220" w:after="40"/>
      <w:outlineLvl w:val="4"/>
    </w:pPr>
    <w:rPr>
      <w:b/>
      <w:bCs/>
      <w:color w:val="000000"/>
      <w:sz w:val="22"/>
      <w:szCs w:val="22"/>
    </w:rPr>
  </w:style>
  <w:style w:type="paragraph" w:styleId="Ttulo6">
    <w:name w:val="Heading 6"/>
    <w:basedOn w:val="Normal"/>
    <w:next w:val="Normal"/>
    <w:link w:val="Ttulo6Char"/>
    <w:uiPriority w:val="9"/>
    <w:semiHidden/>
    <w:unhideWhenUsed/>
    <w:qFormat/>
    <w:pPr>
      <w:keepNext w:val="true"/>
      <w:keepLines/>
      <w:widowControl/>
      <w:spacing w:before="200" w:after="40"/>
      <w:outlineLvl w:val="5"/>
    </w:pPr>
    <w:rPr>
      <w:b/>
      <w:bCs/>
      <w:color w:val="000000"/>
      <w:sz w:val="20"/>
      <w:szCs w:val="20"/>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uiPriority w:val="9"/>
    <w:qFormat/>
    <w:rsid w:val="0074683a"/>
    <w:rPr>
      <w:b/>
      <w:bCs/>
      <w:color w:val="000000"/>
      <w:sz w:val="48"/>
      <w:szCs w:val="48"/>
    </w:rPr>
  </w:style>
  <w:style w:type="character" w:styleId="Ttulo2Char" w:customStyle="1">
    <w:name w:val="Título 2 Char"/>
    <w:basedOn w:val="DefaultParagraphFont"/>
    <w:uiPriority w:val="9"/>
    <w:semiHidden/>
    <w:qFormat/>
    <w:rsid w:val="0074683a"/>
    <w:rPr>
      <w:b/>
      <w:bCs/>
      <w:color w:val="000000"/>
      <w:sz w:val="36"/>
      <w:szCs w:val="36"/>
    </w:rPr>
  </w:style>
  <w:style w:type="character" w:styleId="Ttulo3Char" w:customStyle="1">
    <w:name w:val="Título 3 Char"/>
    <w:basedOn w:val="DefaultParagraphFont"/>
    <w:uiPriority w:val="9"/>
    <w:semiHidden/>
    <w:qFormat/>
    <w:rsid w:val="0074683a"/>
    <w:rPr>
      <w:b/>
      <w:bCs/>
      <w:color w:val="000000"/>
      <w:sz w:val="28"/>
      <w:szCs w:val="28"/>
    </w:rPr>
  </w:style>
  <w:style w:type="character" w:styleId="Ttulo4Char" w:customStyle="1">
    <w:name w:val="Título 4 Char"/>
    <w:basedOn w:val="DefaultParagraphFont"/>
    <w:uiPriority w:val="9"/>
    <w:semiHidden/>
    <w:qFormat/>
    <w:rsid w:val="0074683a"/>
    <w:rPr>
      <w:b/>
      <w:bCs/>
      <w:color w:val="000000"/>
    </w:rPr>
  </w:style>
  <w:style w:type="character" w:styleId="Ttulo5Char" w:customStyle="1">
    <w:name w:val="Título 5 Char"/>
    <w:basedOn w:val="DefaultParagraphFont"/>
    <w:uiPriority w:val="9"/>
    <w:semiHidden/>
    <w:qFormat/>
    <w:rsid w:val="0074683a"/>
    <w:rPr>
      <w:b/>
      <w:bCs/>
      <w:color w:val="000000"/>
      <w:sz w:val="22"/>
      <w:szCs w:val="22"/>
    </w:rPr>
  </w:style>
  <w:style w:type="character" w:styleId="Ttulo6Char" w:customStyle="1">
    <w:name w:val="Título 6 Char"/>
    <w:basedOn w:val="DefaultParagraphFont"/>
    <w:uiPriority w:val="9"/>
    <w:semiHidden/>
    <w:qFormat/>
    <w:rsid w:val="0074683a"/>
    <w:rPr>
      <w:b/>
      <w:bCs/>
      <w:color w:val="000000"/>
      <w:sz w:val="20"/>
      <w:szCs w:val="20"/>
    </w:rPr>
  </w:style>
  <w:style w:type="character" w:styleId="TtuloChar" w:customStyle="1">
    <w:name w:val="Título Char"/>
    <w:basedOn w:val="DefaultParagraphFont"/>
    <w:uiPriority w:val="10"/>
    <w:qFormat/>
    <w:rsid w:val="0074683a"/>
    <w:rPr>
      <w:b/>
      <w:bCs/>
      <w:color w:val="000000"/>
      <w:sz w:val="72"/>
      <w:szCs w:val="72"/>
    </w:rPr>
  </w:style>
  <w:style w:type="character" w:styleId="SubttuloChar" w:customStyle="1">
    <w:name w:val="Subtítulo Char"/>
    <w:basedOn w:val="DefaultParagraphFont"/>
    <w:uiPriority w:val="11"/>
    <w:qFormat/>
    <w:rsid w:val="0074683a"/>
    <w:rPr>
      <w:rFonts w:ascii="Georgia" w:hAnsi="Georgia" w:eastAsia="Georgia" w:cs="Georgia"/>
      <w:i/>
      <w:iCs/>
      <w:color w:val="666666"/>
      <w:sz w:val="48"/>
      <w:szCs w:val="48"/>
    </w:rPr>
  </w:style>
  <w:style w:type="character" w:styleId="PlaceholderText">
    <w:name w:val="Placeholder Text"/>
    <w:basedOn w:val="DefaultParagraphFont"/>
    <w:uiPriority w:val="99"/>
    <w:semiHidden/>
    <w:qFormat/>
    <w:rsid w:val="0074683a"/>
    <w:rPr>
      <w:rFonts w:cs="Times New Roman"/>
      <w:color w:val="808080"/>
    </w:rPr>
  </w:style>
  <w:style w:type="character" w:styleId="LinkdaInternet">
    <w:name w:val="Hyperlink"/>
    <w:basedOn w:val="DefaultParagraphFont"/>
    <w:uiPriority w:val="99"/>
    <w:unhideWhenUsed/>
    <w:rsid w:val="0074683a"/>
    <w:rPr>
      <w:rFonts w:cs="Times New Roman"/>
      <w:color w:val="0000FF" w:themeColor="hyperlink"/>
      <w:u w:val="single"/>
    </w:rPr>
  </w:style>
  <w:style w:type="character" w:styleId="UnresolvedMention">
    <w:name w:val="Unresolved Mention"/>
    <w:basedOn w:val="DefaultParagraphFont"/>
    <w:uiPriority w:val="99"/>
    <w:semiHidden/>
    <w:unhideWhenUsed/>
    <w:qFormat/>
    <w:rsid w:val="0074683a"/>
    <w:rPr>
      <w:rFonts w:cs="Times New Roman"/>
      <w:color w:val="605E5C"/>
      <w:shd w:fill="E1DFDD" w:val="clear"/>
    </w:rPr>
  </w:style>
  <w:style w:type="character" w:styleId="TextodenotaderodapChar" w:customStyle="1">
    <w:name w:val="Texto de nota de rodapé Char"/>
    <w:basedOn w:val="DefaultParagraphFont"/>
    <w:uiPriority w:val="99"/>
    <w:semiHidden/>
    <w:qFormat/>
    <w:rsid w:val="0074683a"/>
    <w:rPr>
      <w:rFonts w:ascii="Arial" w:hAnsi="Arial" w:eastAsia="Times New Roman" w:cs="Arial"/>
      <w:sz w:val="20"/>
      <w:szCs w:val="20"/>
    </w:rPr>
  </w:style>
  <w:style w:type="character" w:styleId="Caracteresdenotaderodap">
    <w:name w:val="Caracteres de nota de rodapé"/>
    <w:uiPriority w:val="99"/>
    <w:semiHidden/>
    <w:unhideWhenUsed/>
    <w:qFormat/>
    <w:rsid w:val="0074683a"/>
    <w:rPr>
      <w:rFonts w:cs="Times New Roman"/>
      <w:vertAlign w:val="superscript"/>
    </w:rPr>
  </w:style>
  <w:style w:type="character" w:styleId="Ncoradanotaderodap">
    <w:name w:val="Footnote Reference"/>
    <w:rPr>
      <w:rFonts w:cs="Times New Roman"/>
      <w:vertAlign w:val="superscript"/>
    </w:rPr>
  </w:style>
  <w:style w:type="character" w:styleId="Linkdainternetvisitado">
    <w:name w:val="FollowedHyperlink"/>
    <w:basedOn w:val="DefaultParagraphFont"/>
    <w:uiPriority w:val="99"/>
    <w:semiHidden/>
    <w:unhideWhenUsed/>
    <w:rsid w:val="0074683a"/>
    <w:rPr>
      <w:color w:val="800080" w:themeColor="followedHyperlink"/>
      <w:u w:val="single"/>
    </w:rPr>
  </w:style>
  <w:style w:type="paragraph" w:styleId="Ttulo">
    <w:name w:val="Título"/>
    <w:basedOn w:val="Normal"/>
    <w:next w:val="Corpodotexto"/>
    <w:qFormat/>
    <w:pPr>
      <w:keepNext w:val="true"/>
      <w:spacing w:before="240" w:after="120"/>
    </w:pPr>
    <w:rPr>
      <w:rFonts w:ascii="Liberation Sans" w:hAnsi="Liberation Sans" w:eastAsia="DejaVu Sans" w:cs="Free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FreeSans"/>
    </w:rPr>
  </w:style>
  <w:style w:type="paragraph" w:styleId="Leg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tulododocumento">
    <w:name w:val="Title"/>
    <w:basedOn w:val="Normal"/>
    <w:next w:val="Normal"/>
    <w:link w:val="TtuloChar"/>
    <w:uiPriority w:val="10"/>
    <w:qFormat/>
    <w:pPr>
      <w:keepNext w:val="true"/>
      <w:keepLines/>
      <w:widowControl/>
      <w:spacing w:before="480" w:after="120"/>
    </w:pPr>
    <w:rPr>
      <w:b/>
      <w:bCs/>
      <w:color w:val="000000"/>
      <w:sz w:val="72"/>
      <w:szCs w:val="72"/>
    </w:rPr>
  </w:style>
  <w:style w:type="paragraph" w:styleId="Subttulo">
    <w:name w:val="Subtitle"/>
    <w:basedOn w:val="Normal"/>
    <w:next w:val="Normal"/>
    <w:link w:val="SubttuloChar"/>
    <w:uiPriority w:val="11"/>
    <w:qFormat/>
    <w:pPr>
      <w:keepNext w:val="true"/>
      <w:keepLines/>
      <w:widowControl/>
      <w:spacing w:before="360" w:after="80"/>
    </w:pPr>
    <w:rPr>
      <w:rFonts w:ascii="Georgia" w:hAnsi="Georgia" w:eastAsia="Georgia" w:cs="Georgia"/>
      <w:i/>
      <w:iCs/>
      <w:color w:val="666666"/>
      <w:sz w:val="48"/>
      <w:szCs w:val="48"/>
    </w:rPr>
  </w:style>
  <w:style w:type="paragraph" w:styleId="ListParagraph">
    <w:name w:val="List Paragraph"/>
    <w:basedOn w:val="Normal"/>
    <w:uiPriority w:val="34"/>
    <w:qFormat/>
    <w:rsid w:val="0074683a"/>
    <w:pPr>
      <w:widowControl/>
      <w:spacing w:lineRule="auto" w:line="276" w:before="0" w:after="0"/>
      <w:ind w:left="720" w:hanging="0"/>
      <w:contextualSpacing/>
    </w:pPr>
    <w:rPr>
      <w:rFonts w:ascii="Arial" w:hAnsi="Arial" w:eastAsia="Times New Roman" w:cs="Arial"/>
      <w:sz w:val="22"/>
      <w:szCs w:val="22"/>
    </w:rPr>
  </w:style>
  <w:style w:type="paragraph" w:styleId="Notaderodap">
    <w:name w:val="Footnote Text"/>
    <w:basedOn w:val="Normal"/>
    <w:link w:val="TextodenotaderodapChar"/>
    <w:uiPriority w:val="99"/>
    <w:semiHidden/>
    <w:unhideWhenUsed/>
    <w:rsid w:val="0074683a"/>
    <w:pPr>
      <w:widowControl/>
    </w:pPr>
    <w:rPr>
      <w:rFonts w:ascii="Arial" w:hAnsi="Arial" w:eastAsia="Times New Roman" w:cs="Arial"/>
      <w:sz w:val="20"/>
      <w:szCs w:val="20"/>
    </w:rPr>
  </w:style>
  <w:style w:type="paragraph" w:styleId="Default" w:customStyle="1">
    <w:name w:val="Default"/>
    <w:qFormat/>
    <w:rsid w:val="0074683a"/>
    <w:pPr>
      <w:widowControl/>
      <w:suppressAutoHyphens w:val="true"/>
      <w:bidi w:val="0"/>
      <w:spacing w:before="0" w:after="0"/>
      <w:jc w:val="left"/>
    </w:pPr>
    <w:rPr>
      <w:rFonts w:ascii="Times New Roman" w:hAnsi="Times New Roman" w:eastAsia="Times New Roman" w:cs="Times New Roman"/>
      <w:color w:val="000000"/>
      <w:kern w:val="0"/>
      <w:sz w:val="24"/>
      <w:szCs w:val="24"/>
      <w:lang w:val="pt-BR" w:eastAsia="pt-BR" w:bidi="ar-SA"/>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paragraph" w:styleId="Contedodatabela">
    <w:name w:val="Conteúdo da tabela"/>
    <w:basedOn w:val="Normal"/>
    <w:qFormat/>
    <w:pPr>
      <w:widowControl w:val="false"/>
      <w:suppressLineNumber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 Normal"/>
    <w:rsid w:val="0074683a"/>
    <w:pPr>
      <w:spacing w:line="276" w:lineRule="auto"/>
    </w:pPr>
    <w:rPr>
      <w:sz w:val="22"/>
      <w:szCs w:val="22"/>
    </w:rPr>
    <w:tblPr>
      <w:tblCellMar>
        <w:top w:w="0" w:type="dxa"/>
        <w:left w:w="0" w:type="dxa"/>
        <w:bottom w:w="0" w:type="dxa"/>
        <w:right w:w="0" w:type="dxa"/>
      </w:tblCellMar>
    </w:tblPr>
  </w:style>
  <w:style w:type="table" w:customStyle="1" w:styleId="Estilo">
    <w:name w:val="Estilo"/>
    <w:basedOn w:val="TableNormal0"/>
    <w:rsid w:val="0074683a"/>
    <w:tblPr>
      <w:tblStyleRowBandSize w:val="1"/>
      <w:tblStyleColBandSize w:val="1"/>
      <w:tblCellMar>
        <w:top w:w="100" w:type="dxa"/>
        <w:left w:w="100" w:type="dxa"/>
        <w:bottom w:w="100" w:type="dxa"/>
        <w:right w:w="100" w:type="dxa"/>
      </w:tblCellMar>
    </w:tblPr>
  </w:style>
  <w:style w:type="table" w:customStyle="1" w:styleId="Estilo40">
    <w:name w:val="Estilo40"/>
    <w:basedOn w:val="TableNormal0"/>
    <w:rsid w:val="0074683a"/>
    <w:tblPr>
      <w:tblStyleRowBandSize w:val="1"/>
      <w:tblStyleColBandSize w:val="1"/>
      <w:tblCellMar>
        <w:top w:w="100" w:type="dxa"/>
        <w:left w:w="100" w:type="dxa"/>
        <w:bottom w:w="100" w:type="dxa"/>
        <w:right w:w="100" w:type="dxa"/>
      </w:tblCellMar>
    </w:tblPr>
  </w:style>
  <w:style w:type="table" w:customStyle="1" w:styleId="Estilo39">
    <w:name w:val="Estilo39"/>
    <w:basedOn w:val="TableNormal0"/>
    <w:rsid w:val="0074683a"/>
    <w:tblPr>
      <w:tblStyleRowBandSize w:val="1"/>
      <w:tblStyleColBandSize w:val="1"/>
      <w:tblCellMar>
        <w:top w:w="100" w:type="dxa"/>
        <w:left w:w="100" w:type="dxa"/>
        <w:bottom w:w="100" w:type="dxa"/>
        <w:right w:w="100" w:type="dxa"/>
      </w:tblCellMar>
    </w:tblPr>
  </w:style>
  <w:style w:type="table" w:customStyle="1" w:styleId="Estilo38">
    <w:name w:val="Estilo38"/>
    <w:basedOn w:val="TableNormal0"/>
    <w:rsid w:val="0074683a"/>
    <w:tblPr>
      <w:tblStyleRowBandSize w:val="1"/>
      <w:tblStyleColBandSize w:val="1"/>
      <w:tblCellMar>
        <w:top w:w="100" w:type="dxa"/>
        <w:left w:w="100" w:type="dxa"/>
        <w:bottom w:w="100" w:type="dxa"/>
        <w:right w:w="100" w:type="dxa"/>
      </w:tblCellMar>
    </w:tblPr>
  </w:style>
  <w:style w:type="table" w:customStyle="1" w:styleId="Estilo37">
    <w:name w:val="Estilo37"/>
    <w:basedOn w:val="TableNormal0"/>
    <w:rsid w:val="0074683a"/>
    <w:tblPr>
      <w:tblStyleRowBandSize w:val="1"/>
      <w:tblStyleColBandSize w:val="1"/>
      <w:tblCellMar>
        <w:top w:w="100" w:type="dxa"/>
        <w:left w:w="100" w:type="dxa"/>
        <w:bottom w:w="100" w:type="dxa"/>
        <w:right w:w="100" w:type="dxa"/>
      </w:tblCellMar>
    </w:tblPr>
  </w:style>
  <w:style w:type="table" w:customStyle="1" w:styleId="Estilo36">
    <w:name w:val="Estilo36"/>
    <w:basedOn w:val="TableNormal0"/>
    <w:rsid w:val="0074683a"/>
    <w:tblPr>
      <w:tblStyleRowBandSize w:val="1"/>
      <w:tblStyleColBandSize w:val="1"/>
      <w:tblCellMar>
        <w:top w:w="100" w:type="dxa"/>
        <w:left w:w="100" w:type="dxa"/>
        <w:bottom w:w="100" w:type="dxa"/>
        <w:right w:w="100" w:type="dxa"/>
      </w:tblCellMar>
    </w:tblPr>
  </w:style>
  <w:style w:type="table" w:customStyle="1" w:styleId="Estilo35">
    <w:name w:val="Estilo35"/>
    <w:basedOn w:val="TableNormal0"/>
    <w:rsid w:val="0074683a"/>
    <w:tblPr>
      <w:tblStyleRowBandSize w:val="1"/>
      <w:tblStyleColBandSize w:val="1"/>
      <w:tblCellMar>
        <w:top w:w="100" w:type="dxa"/>
        <w:left w:w="100" w:type="dxa"/>
        <w:bottom w:w="100" w:type="dxa"/>
        <w:right w:w="100" w:type="dxa"/>
      </w:tblCellMar>
    </w:tblPr>
  </w:style>
  <w:style w:type="table" w:customStyle="1" w:styleId="Estilo34">
    <w:name w:val="Estilo34"/>
    <w:basedOn w:val="TableNormal0"/>
    <w:rsid w:val="0074683a"/>
    <w:tblPr>
      <w:tblStyleRowBandSize w:val="1"/>
      <w:tblStyleColBandSize w:val="1"/>
      <w:tblCellMar>
        <w:top w:w="100" w:type="dxa"/>
        <w:left w:w="100" w:type="dxa"/>
        <w:bottom w:w="100" w:type="dxa"/>
        <w:right w:w="100" w:type="dxa"/>
      </w:tblCellMar>
    </w:tblPr>
  </w:style>
  <w:style w:type="table" w:customStyle="1" w:styleId="Estilo33">
    <w:name w:val="Estilo33"/>
    <w:basedOn w:val="TableNormal0"/>
    <w:rsid w:val="0074683a"/>
    <w:tblPr>
      <w:tblStyleRowBandSize w:val="1"/>
      <w:tblStyleColBandSize w:val="1"/>
      <w:tblCellMar>
        <w:top w:w="100" w:type="dxa"/>
        <w:left w:w="100" w:type="dxa"/>
        <w:bottom w:w="100" w:type="dxa"/>
        <w:right w:w="100" w:type="dxa"/>
      </w:tblCellMar>
    </w:tblPr>
  </w:style>
  <w:style w:type="table" w:customStyle="1" w:styleId="Estilo32">
    <w:name w:val="Estilo32"/>
    <w:basedOn w:val="TableNormal0"/>
    <w:rsid w:val="0074683a"/>
    <w:tblPr>
      <w:tblStyleRowBandSize w:val="1"/>
      <w:tblStyleColBandSize w:val="1"/>
      <w:tblCellMar>
        <w:top w:w="100" w:type="dxa"/>
        <w:left w:w="100" w:type="dxa"/>
        <w:bottom w:w="100" w:type="dxa"/>
        <w:right w:w="100" w:type="dxa"/>
      </w:tblCellMar>
    </w:tblPr>
  </w:style>
  <w:style w:type="table" w:customStyle="1" w:styleId="Estilo31">
    <w:name w:val="Estilo31"/>
    <w:basedOn w:val="TableNormal0"/>
    <w:rsid w:val="0074683a"/>
    <w:tblPr>
      <w:tblStyleRowBandSize w:val="1"/>
      <w:tblStyleColBandSize w:val="1"/>
      <w:tblCellMar>
        <w:top w:w="100" w:type="dxa"/>
        <w:left w:w="100" w:type="dxa"/>
        <w:bottom w:w="100" w:type="dxa"/>
        <w:right w:w="100" w:type="dxa"/>
      </w:tblCellMar>
    </w:tblPr>
  </w:style>
  <w:style w:type="table" w:customStyle="1" w:styleId="Estilo30">
    <w:name w:val="Estilo30"/>
    <w:basedOn w:val="TableNormal0"/>
    <w:rsid w:val="0074683a"/>
    <w:tblPr>
      <w:tblStyleRowBandSize w:val="1"/>
      <w:tblStyleColBandSize w:val="1"/>
      <w:tblCellMar>
        <w:top w:w="100" w:type="dxa"/>
        <w:left w:w="100" w:type="dxa"/>
        <w:bottom w:w="100" w:type="dxa"/>
        <w:right w:w="100" w:type="dxa"/>
      </w:tblCellMar>
    </w:tblPr>
  </w:style>
  <w:style w:type="table" w:customStyle="1" w:styleId="Estilo29">
    <w:name w:val="Estilo29"/>
    <w:basedOn w:val="TableNormal0"/>
    <w:rsid w:val="0074683a"/>
    <w:tblPr>
      <w:tblStyleRowBandSize w:val="1"/>
      <w:tblStyleColBandSize w:val="1"/>
      <w:tblCellMar>
        <w:top w:w="100" w:type="dxa"/>
        <w:left w:w="100" w:type="dxa"/>
        <w:bottom w:w="100" w:type="dxa"/>
        <w:right w:w="100" w:type="dxa"/>
      </w:tblCellMar>
    </w:tblPr>
  </w:style>
  <w:style w:type="table" w:customStyle="1" w:styleId="Estilo28">
    <w:name w:val="Estilo28"/>
    <w:basedOn w:val="TableNormal0"/>
    <w:rsid w:val="0074683a"/>
    <w:tblPr>
      <w:tblStyleRowBandSize w:val="1"/>
      <w:tblStyleColBandSize w:val="1"/>
      <w:tblCellMar>
        <w:top w:w="100" w:type="dxa"/>
        <w:left w:w="100" w:type="dxa"/>
        <w:bottom w:w="100" w:type="dxa"/>
        <w:right w:w="100" w:type="dxa"/>
      </w:tblCellMar>
    </w:tblPr>
  </w:style>
  <w:style w:type="table" w:customStyle="1" w:styleId="Estilo27">
    <w:name w:val="Estilo27"/>
    <w:basedOn w:val="TableNormal0"/>
    <w:rsid w:val="0074683a"/>
    <w:tblPr>
      <w:tblStyleRowBandSize w:val="1"/>
      <w:tblStyleColBandSize w:val="1"/>
      <w:tblCellMar>
        <w:top w:w="100" w:type="dxa"/>
        <w:left w:w="100" w:type="dxa"/>
        <w:bottom w:w="100" w:type="dxa"/>
        <w:right w:w="100" w:type="dxa"/>
      </w:tblCellMar>
    </w:tblPr>
  </w:style>
  <w:style w:type="table" w:customStyle="1" w:styleId="Estilo26">
    <w:name w:val="Estilo26"/>
    <w:basedOn w:val="TableNormal0"/>
    <w:rsid w:val="0074683a"/>
    <w:tblPr>
      <w:tblStyleRowBandSize w:val="1"/>
      <w:tblStyleColBandSize w:val="1"/>
      <w:tblCellMar>
        <w:top w:w="100" w:type="dxa"/>
        <w:left w:w="100" w:type="dxa"/>
        <w:bottom w:w="100" w:type="dxa"/>
        <w:right w:w="100" w:type="dxa"/>
      </w:tblCellMar>
    </w:tblPr>
  </w:style>
  <w:style w:type="table" w:customStyle="1" w:styleId="Estilo25">
    <w:name w:val="Estilo25"/>
    <w:basedOn w:val="TableNormal0"/>
    <w:rsid w:val="0074683a"/>
    <w:tblPr>
      <w:tblStyleRowBandSize w:val="1"/>
      <w:tblStyleColBandSize w:val="1"/>
      <w:tblCellMar>
        <w:top w:w="100" w:type="dxa"/>
        <w:left w:w="100" w:type="dxa"/>
        <w:bottom w:w="100" w:type="dxa"/>
        <w:right w:w="100" w:type="dxa"/>
      </w:tblCellMar>
    </w:tblPr>
  </w:style>
  <w:style w:type="table" w:customStyle="1" w:styleId="Estilo24">
    <w:name w:val="Estilo24"/>
    <w:basedOn w:val="TableNormal0"/>
    <w:rsid w:val="0074683a"/>
    <w:tblPr>
      <w:tblStyleRowBandSize w:val="1"/>
      <w:tblStyleColBandSize w:val="1"/>
      <w:tblCellMar>
        <w:top w:w="100" w:type="dxa"/>
        <w:left w:w="100" w:type="dxa"/>
        <w:bottom w:w="100" w:type="dxa"/>
        <w:right w:w="100" w:type="dxa"/>
      </w:tblCellMar>
    </w:tblPr>
  </w:style>
  <w:style w:type="table" w:customStyle="1" w:styleId="Estilo23">
    <w:name w:val="Estilo23"/>
    <w:basedOn w:val="TableNormal0"/>
    <w:rsid w:val="0074683a"/>
    <w:tblPr>
      <w:tblStyleRowBandSize w:val="1"/>
      <w:tblStyleColBandSize w:val="1"/>
      <w:tblCellMar>
        <w:top w:w="100" w:type="dxa"/>
        <w:left w:w="100" w:type="dxa"/>
        <w:bottom w:w="100" w:type="dxa"/>
        <w:right w:w="100" w:type="dxa"/>
      </w:tblCellMar>
    </w:tblPr>
  </w:style>
  <w:style w:type="table" w:customStyle="1" w:styleId="Estilo22">
    <w:name w:val="Estilo22"/>
    <w:basedOn w:val="TableNormal0"/>
    <w:rsid w:val="0074683a"/>
    <w:tblPr>
      <w:tblStyleRowBandSize w:val="1"/>
      <w:tblStyleColBandSize w:val="1"/>
      <w:tblCellMar>
        <w:top w:w="100" w:type="dxa"/>
        <w:left w:w="100" w:type="dxa"/>
        <w:bottom w:w="100" w:type="dxa"/>
        <w:right w:w="100" w:type="dxa"/>
      </w:tblCellMar>
    </w:tblPr>
  </w:style>
  <w:style w:type="table" w:customStyle="1" w:styleId="Estilo21">
    <w:name w:val="Estilo21"/>
    <w:basedOn w:val="TableNormal0"/>
    <w:rsid w:val="0074683a"/>
    <w:tblPr>
      <w:tblStyleRowBandSize w:val="1"/>
      <w:tblStyleColBandSize w:val="1"/>
      <w:tblCellMar>
        <w:top w:w="100" w:type="dxa"/>
        <w:left w:w="100" w:type="dxa"/>
        <w:bottom w:w="100" w:type="dxa"/>
        <w:right w:w="100" w:type="dxa"/>
      </w:tblCellMar>
    </w:tblPr>
  </w:style>
  <w:style w:type="table" w:customStyle="1" w:styleId="Estilo20">
    <w:name w:val="Estilo20"/>
    <w:basedOn w:val="TableNormal0"/>
    <w:rsid w:val="0074683a"/>
    <w:tblPr>
      <w:tblStyleRowBandSize w:val="1"/>
      <w:tblStyleColBandSize w:val="1"/>
      <w:tblCellMar>
        <w:top w:w="100" w:type="dxa"/>
        <w:left w:w="100" w:type="dxa"/>
        <w:bottom w:w="100" w:type="dxa"/>
        <w:right w:w="100" w:type="dxa"/>
      </w:tblCellMar>
    </w:tblPr>
  </w:style>
  <w:style w:type="table" w:customStyle="1" w:styleId="Estilo19">
    <w:name w:val="Estilo19"/>
    <w:basedOn w:val="TableNormal0"/>
    <w:rsid w:val="0074683a"/>
    <w:tblPr>
      <w:tblStyleRowBandSize w:val="1"/>
      <w:tblStyleColBandSize w:val="1"/>
      <w:tblCellMar>
        <w:top w:w="100" w:type="dxa"/>
        <w:left w:w="100" w:type="dxa"/>
        <w:bottom w:w="100" w:type="dxa"/>
        <w:right w:w="100" w:type="dxa"/>
      </w:tblCellMar>
    </w:tblPr>
  </w:style>
  <w:style w:type="table" w:customStyle="1" w:styleId="Estilo18">
    <w:name w:val="Estilo18"/>
    <w:basedOn w:val="TableNormal0"/>
    <w:rsid w:val="0074683a"/>
    <w:tblPr>
      <w:tblStyleRowBandSize w:val="1"/>
      <w:tblStyleColBandSize w:val="1"/>
      <w:tblCellMar>
        <w:top w:w="100" w:type="dxa"/>
        <w:left w:w="100" w:type="dxa"/>
        <w:bottom w:w="100" w:type="dxa"/>
        <w:right w:w="100" w:type="dxa"/>
      </w:tblCellMar>
    </w:tblPr>
  </w:style>
  <w:style w:type="table" w:customStyle="1" w:styleId="Estilo17">
    <w:name w:val="Estilo17"/>
    <w:basedOn w:val="TableNormal0"/>
    <w:rsid w:val="0074683a"/>
    <w:tblPr>
      <w:tblStyleRowBandSize w:val="1"/>
      <w:tblStyleColBandSize w:val="1"/>
      <w:tblCellMar>
        <w:top w:w="100" w:type="dxa"/>
        <w:left w:w="100" w:type="dxa"/>
        <w:bottom w:w="100" w:type="dxa"/>
        <w:right w:w="100" w:type="dxa"/>
      </w:tblCellMar>
    </w:tblPr>
  </w:style>
  <w:style w:type="table" w:customStyle="1" w:styleId="Estilo16">
    <w:name w:val="Estilo16"/>
    <w:basedOn w:val="TableNormal0"/>
    <w:rsid w:val="0074683a"/>
    <w:tblPr>
      <w:tblStyleRowBandSize w:val="1"/>
      <w:tblStyleColBandSize w:val="1"/>
      <w:tblCellMar>
        <w:top w:w="100" w:type="dxa"/>
        <w:left w:w="100" w:type="dxa"/>
        <w:bottom w:w="100" w:type="dxa"/>
        <w:right w:w="100" w:type="dxa"/>
      </w:tblCellMar>
    </w:tblPr>
  </w:style>
  <w:style w:type="table" w:customStyle="1" w:styleId="Estilo15">
    <w:name w:val="Estilo15"/>
    <w:basedOn w:val="TableNormal0"/>
    <w:rsid w:val="0074683a"/>
    <w:tblPr>
      <w:tblStyleRowBandSize w:val="1"/>
      <w:tblStyleColBandSize w:val="1"/>
      <w:tblCellMar>
        <w:top w:w="100" w:type="dxa"/>
        <w:left w:w="100" w:type="dxa"/>
        <w:bottom w:w="100" w:type="dxa"/>
        <w:right w:w="100" w:type="dxa"/>
      </w:tblCellMar>
    </w:tblPr>
  </w:style>
  <w:style w:type="table" w:customStyle="1" w:styleId="Estilo14">
    <w:name w:val="Estilo14"/>
    <w:basedOn w:val="TableNormal0"/>
    <w:rsid w:val="0074683a"/>
    <w:tblPr>
      <w:tblStyleRowBandSize w:val="1"/>
      <w:tblStyleColBandSize w:val="1"/>
      <w:tblCellMar>
        <w:top w:w="100" w:type="dxa"/>
        <w:left w:w="100" w:type="dxa"/>
        <w:bottom w:w="100" w:type="dxa"/>
        <w:right w:w="100" w:type="dxa"/>
      </w:tblCellMar>
    </w:tblPr>
  </w:style>
  <w:style w:type="table" w:customStyle="1" w:styleId="Estilo13">
    <w:name w:val="Estilo13"/>
    <w:basedOn w:val="TableNormal0"/>
    <w:rsid w:val="0074683a"/>
    <w:tblPr>
      <w:tblStyleRowBandSize w:val="1"/>
      <w:tblStyleColBandSize w:val="1"/>
      <w:tblCellMar>
        <w:top w:w="100" w:type="dxa"/>
        <w:left w:w="100" w:type="dxa"/>
        <w:bottom w:w="100" w:type="dxa"/>
        <w:right w:w="100" w:type="dxa"/>
      </w:tblCellMar>
    </w:tblPr>
  </w:style>
  <w:style w:type="table" w:customStyle="1" w:styleId="Estilo12">
    <w:name w:val="Estilo12"/>
    <w:basedOn w:val="TableNormal0"/>
    <w:rsid w:val="0074683a"/>
    <w:tblPr>
      <w:tblStyleRowBandSize w:val="1"/>
      <w:tblStyleColBandSize w:val="1"/>
      <w:tblCellMar>
        <w:top w:w="100" w:type="dxa"/>
        <w:left w:w="100" w:type="dxa"/>
        <w:bottom w:w="100" w:type="dxa"/>
        <w:right w:w="100" w:type="dxa"/>
      </w:tblCellMar>
    </w:tblPr>
  </w:style>
  <w:style w:type="table" w:customStyle="1" w:styleId="Estilo11">
    <w:name w:val="Estilo11"/>
    <w:basedOn w:val="TableNormal0"/>
    <w:rsid w:val="0074683a"/>
    <w:tblPr>
      <w:tblStyleRowBandSize w:val="1"/>
      <w:tblStyleColBandSize w:val="1"/>
      <w:tblCellMar>
        <w:top w:w="100" w:type="dxa"/>
        <w:left w:w="100" w:type="dxa"/>
        <w:bottom w:w="100" w:type="dxa"/>
        <w:right w:w="100" w:type="dxa"/>
      </w:tblCellMar>
    </w:tblPr>
  </w:style>
  <w:style w:type="table" w:customStyle="1" w:styleId="Estilo10">
    <w:name w:val="Estilo10"/>
    <w:basedOn w:val="TableNormal0"/>
    <w:rsid w:val="0074683a"/>
    <w:tblPr>
      <w:tblStyleRowBandSize w:val="1"/>
      <w:tblStyleColBandSize w:val="1"/>
      <w:tblCellMar>
        <w:top w:w="100" w:type="dxa"/>
        <w:left w:w="100" w:type="dxa"/>
        <w:bottom w:w="100" w:type="dxa"/>
        <w:right w:w="100" w:type="dxa"/>
      </w:tblCellMar>
    </w:tblPr>
  </w:style>
  <w:style w:type="table" w:customStyle="1" w:styleId="Estilo9">
    <w:name w:val="Estilo9"/>
    <w:basedOn w:val="TableNormal0"/>
    <w:rsid w:val="0074683a"/>
    <w:tblPr>
      <w:tblStyleRowBandSize w:val="1"/>
      <w:tblStyleColBandSize w:val="1"/>
      <w:tblCellMar>
        <w:top w:w="100" w:type="dxa"/>
        <w:left w:w="100" w:type="dxa"/>
        <w:bottom w:w="100" w:type="dxa"/>
        <w:right w:w="100" w:type="dxa"/>
      </w:tblCellMar>
    </w:tblPr>
  </w:style>
  <w:style w:type="table" w:customStyle="1" w:styleId="Estilo8">
    <w:name w:val="Estilo8"/>
    <w:basedOn w:val="TableNormal0"/>
    <w:rsid w:val="0074683a"/>
    <w:tblPr>
      <w:tblStyleRowBandSize w:val="1"/>
      <w:tblStyleColBandSize w:val="1"/>
      <w:tblCellMar>
        <w:top w:w="100" w:type="dxa"/>
        <w:left w:w="100" w:type="dxa"/>
        <w:bottom w:w="100" w:type="dxa"/>
        <w:right w:w="100" w:type="dxa"/>
      </w:tblCellMar>
    </w:tblPr>
  </w:style>
  <w:style w:type="table" w:customStyle="1" w:styleId="Estilo7">
    <w:name w:val="Estilo7"/>
    <w:basedOn w:val="TableNormal0"/>
    <w:rsid w:val="0074683a"/>
    <w:tblPr>
      <w:tblStyleRowBandSize w:val="1"/>
      <w:tblStyleColBandSize w:val="1"/>
      <w:tblCellMar>
        <w:top w:w="100" w:type="dxa"/>
        <w:left w:w="100" w:type="dxa"/>
        <w:bottom w:w="100" w:type="dxa"/>
        <w:right w:w="100" w:type="dxa"/>
      </w:tblCellMar>
    </w:tblPr>
  </w:style>
  <w:style w:type="table" w:customStyle="1" w:styleId="Estilo6">
    <w:name w:val="Estilo6"/>
    <w:basedOn w:val="TableNormal0"/>
    <w:rsid w:val="0074683a"/>
    <w:tblPr>
      <w:tblStyleRowBandSize w:val="1"/>
      <w:tblStyleColBandSize w:val="1"/>
      <w:tblCellMar>
        <w:top w:w="100" w:type="dxa"/>
        <w:left w:w="100" w:type="dxa"/>
        <w:bottom w:w="100" w:type="dxa"/>
        <w:right w:w="100" w:type="dxa"/>
      </w:tblCellMar>
    </w:tblPr>
  </w:style>
  <w:style w:type="table" w:customStyle="1" w:styleId="Estilo5">
    <w:name w:val="Estilo5"/>
    <w:basedOn w:val="TableNormal0"/>
    <w:rsid w:val="0074683a"/>
    <w:tblPr>
      <w:tblStyleRowBandSize w:val="1"/>
      <w:tblStyleColBandSize w:val="1"/>
      <w:tblCellMar>
        <w:top w:w="100" w:type="dxa"/>
        <w:left w:w="100" w:type="dxa"/>
        <w:bottom w:w="100" w:type="dxa"/>
        <w:right w:w="100" w:type="dxa"/>
      </w:tblCellMar>
    </w:tblPr>
  </w:style>
  <w:style w:type="table" w:customStyle="1" w:styleId="Estilo4">
    <w:name w:val="Estilo4"/>
    <w:basedOn w:val="TableNormal0"/>
    <w:rsid w:val="0074683a"/>
    <w:tblPr>
      <w:tblStyleRowBandSize w:val="1"/>
      <w:tblStyleColBandSize w:val="1"/>
      <w:tblCellMar>
        <w:top w:w="100" w:type="dxa"/>
        <w:left w:w="100" w:type="dxa"/>
        <w:bottom w:w="100" w:type="dxa"/>
        <w:right w:w="100" w:type="dxa"/>
      </w:tblCellMar>
    </w:tblPr>
  </w:style>
  <w:style w:type="table" w:customStyle="1" w:styleId="Estilo3">
    <w:name w:val="Estilo3"/>
    <w:basedOn w:val="TableNormal0"/>
    <w:rsid w:val="0074683a"/>
    <w:tblPr>
      <w:tblStyleRowBandSize w:val="1"/>
      <w:tblStyleColBandSize w:val="1"/>
      <w:tblCellMar>
        <w:top w:w="100" w:type="dxa"/>
        <w:left w:w="100" w:type="dxa"/>
        <w:bottom w:w="100" w:type="dxa"/>
        <w:right w:w="100" w:type="dxa"/>
      </w:tblCellMar>
    </w:tblPr>
  </w:style>
  <w:style w:type="table" w:customStyle="1" w:styleId="Estilo2">
    <w:name w:val="Estilo2"/>
    <w:basedOn w:val="TableNormal0"/>
    <w:rsid w:val="0074683a"/>
    <w:tblPr>
      <w:tblStyleRowBandSize w:val="1"/>
      <w:tblStyleColBandSize w:val="1"/>
      <w:tblCellMar>
        <w:top w:w="100" w:type="dxa"/>
        <w:left w:w="100" w:type="dxa"/>
        <w:bottom w:w="100" w:type="dxa"/>
        <w:right w:w="100" w:type="dxa"/>
      </w:tblCellMar>
    </w:tblPr>
  </w:style>
  <w:style w:type="table" w:customStyle="1" w:styleId="Estilo1">
    <w:name w:val="Estilo1"/>
    <w:basedOn w:val="TableNormal0"/>
    <w:rsid w:val="0074683a"/>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39"/>
    <w:rsid w:val="0074683a"/>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ucelio.medeiros@ifsc.edu.br" TargetMode="External"/><Relationship Id="rId3" Type="http://schemas.openxmlformats.org/officeDocument/2006/relationships/hyperlink" Target="mailto:jucelio.medeiros@ifsc.edu.br"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Application>LibreOffice/7.4.7.2$Linux_X86_64 LibreOffice_project/40$Build-2</Application>
  <AppVersion>15.0000</AppVersion>
  <Pages>30</Pages>
  <Words>11050</Words>
  <Characters>63629</Characters>
  <CharactersWithSpaces>73750</CharactersWithSpaces>
  <Paragraphs>941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2026-04-20T17:49:00Z</dcterms:created>
  <dc:creator/>
  <dc:description/>
  <dc:language>pt-BR</dc:language>
  <cp:lastModifiedBy/>
  <dcterms:modified xsi:type="dcterms:W3CDTF">2026-04-28T09:15:00Z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