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02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PLANEJAMENTO ORÇAMENTÁRIO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Servidor (a) orientador (a):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Recurso financeiro solicitado:</w:t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4905"/>
        <w:gridCol w:w="3167"/>
        <w:tblGridChange w:id="0">
          <w:tblGrid>
            <w:gridCol w:w="1425"/>
            <w:gridCol w:w="4905"/>
            <w:gridCol w:w="316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 do item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R$</w:t>
            </w:r>
          </w:p>
        </w:tc>
      </w:tr>
    </w:tbl>
    <w:p w:rsidR="00000000" w:rsidDel="00000000" w:rsidP="00000000" w:rsidRDefault="00000000" w:rsidRPr="00000000" w14:paraId="0000001A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orientador 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1"/>
        <w:spacing w:after="120" w:before="120"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" w:top="566" w:left="1275" w:right="1134" w:header="420" w:footer="7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1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2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ti/jGdQgtQ27EpBLeL6TqQyL6Q==">CgMxLjA4AHIhMXpXU3NiNmU0UW1Kc2NrQzdwOWlZNGJDVEJmaG4wazBG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