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PROPOSTA DE EVENTO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1.7 Público Alvo: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Objetivos</w:t>
            </w:r>
          </w:p>
        </w:tc>
      </w:tr>
      <w:tr>
        <w:trPr>
          <w:cantSplit w:val="0"/>
          <w:trHeight w:val="895.957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Objetivo Geral e Específico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Resultados Esperados</w:t>
            </w:r>
          </w:p>
        </w:tc>
      </w:tr>
      <w:tr>
        <w:trPr>
          <w:cantSplit w:val="0"/>
          <w:trHeight w:val="865.957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Resultados Esperados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Cronograma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Elaborar uma tabela com as etapas.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0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FJUO3mGrQaqJKK7gB2/ZIo29QA==">AMUW2mXnaLF2Fu8tXHndkna3tF8O0eHxt9X0v1ATDRh4H3JUuci9jI4YK/3HfNZDwqh46mDz5NiYsPr0PUnjyCsAfVkylwRyto4MEEdD6vd5I2woAZjHCO0=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